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Lines w:val="0"/>
        <w:pageBreakBefore w:val="0"/>
        <w:widowControl/>
        <w:kinsoku/>
        <w:wordWrap/>
        <w:bidi w:val="0"/>
        <w:spacing w:line="560" w:lineRule="exact"/>
        <w:jc w:val="left"/>
        <w:rPr>
          <w:rFonts w:hint="eastAsia" w:ascii="黑体" w:hAnsi="黑体" w:eastAsia="黑体" w:cs="黑体"/>
          <w:color w:val="auto"/>
          <w:sz w:val="30"/>
          <w:szCs w:val="30"/>
          <w:lang w:eastAsia="zh-CN"/>
        </w:rPr>
      </w:pPr>
      <w:r>
        <w:rPr>
          <w:rFonts w:hint="eastAsia" w:ascii="黑体" w:hAnsi="黑体" w:eastAsia="黑体" w:cs="黑体"/>
          <w:color w:val="auto"/>
          <w:sz w:val="30"/>
          <w:szCs w:val="30"/>
        </w:rPr>
        <w:t>附件4</w:t>
      </w:r>
      <w:r>
        <w:rPr>
          <w:rFonts w:hint="eastAsia" w:ascii="黑体" w:hAnsi="黑体" w:eastAsia="黑体" w:cs="黑体"/>
          <w:color w:val="auto"/>
          <w:sz w:val="30"/>
          <w:szCs w:val="30"/>
          <w:lang w:eastAsia="zh-CN"/>
        </w:rPr>
        <w:t>：</w:t>
      </w:r>
    </w:p>
    <w:p>
      <w:pPr>
        <w:pStyle w:val="5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1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</w:pPr>
      <w:bookmarkStart w:id="3" w:name="_GoBack"/>
      <w:bookmarkStart w:id="0" w:name="bookmark8"/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  <w:t>年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eastAsia="zh-CN"/>
        </w:rPr>
        <w:t>福州英华职业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  <w:t>学院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eastAsia="zh-CN"/>
        </w:rPr>
        <w:t>教师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  <w:t>教学能力比赛</w:t>
      </w:r>
      <w:bookmarkEnd w:id="0"/>
      <w:bookmarkStart w:id="1" w:name="bookmark9"/>
    </w:p>
    <w:p>
      <w:pPr>
        <w:pStyle w:val="5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1"/>
        <w:rPr>
          <w:rFonts w:hint="eastAsia" w:ascii="方正小标宋简体" w:hAnsi="方正小标宋简体" w:eastAsia="方正小标宋简体" w:cs="方正小标宋简体"/>
          <w:color w:val="auto"/>
          <w:sz w:val="42"/>
          <w:szCs w:val="42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  <w:t>评分指标</w:t>
      </w:r>
      <w:bookmarkEnd w:id="3"/>
      <w:bookmarkEnd w:id="1"/>
    </w:p>
    <w:p>
      <w:pPr>
        <w:keepLines w:val="0"/>
        <w:pageBreakBefore w:val="0"/>
        <w:kinsoku/>
        <w:wordWrap/>
        <w:bidi w:val="0"/>
        <w:spacing w:line="560" w:lineRule="exact"/>
        <w:rPr>
          <w:color w:val="auto"/>
        </w:rPr>
      </w:pPr>
    </w:p>
    <w:p>
      <w:pPr>
        <w:keepLines w:val="0"/>
        <w:pageBreakBefore w:val="0"/>
        <w:kinsoku/>
        <w:wordWrap/>
        <w:overflowPunct w:val="0"/>
        <w:bidi w:val="0"/>
        <w:spacing w:line="560" w:lineRule="exact"/>
        <w:rPr>
          <w:rFonts w:ascii="黑体" w:hAnsi="黑体" w:eastAsia="黑体"/>
          <w:color w:val="auto"/>
          <w:sz w:val="32"/>
        </w:rPr>
      </w:pPr>
      <w:r>
        <w:rPr>
          <w:rFonts w:hint="eastAsia" w:ascii="黑体" w:hAnsi="黑体" w:eastAsia="黑体"/>
          <w:color w:val="auto"/>
          <w:sz w:val="32"/>
        </w:rPr>
        <w:t>一、公共基础课程组</w:t>
      </w:r>
    </w:p>
    <w:tbl>
      <w:tblPr>
        <w:tblStyle w:val="3"/>
        <w:tblW w:w="86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4"/>
        <w:gridCol w:w="580"/>
        <w:gridCol w:w="71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tblHeader/>
          <w:jc w:val="center"/>
        </w:trPr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ascii="黑体" w:hAnsi="黑体" w:eastAsia="黑体"/>
                <w:color w:val="auto"/>
                <w:sz w:val="24"/>
                <w:szCs w:val="28"/>
              </w:rPr>
            </w:pPr>
            <w:bookmarkStart w:id="2" w:name="_Hlk10491916"/>
            <w:r>
              <w:rPr>
                <w:rFonts w:hint="eastAsia" w:ascii="黑体" w:hAnsi="黑体" w:eastAsia="黑体"/>
                <w:color w:val="auto"/>
                <w:sz w:val="24"/>
                <w:szCs w:val="28"/>
              </w:rPr>
              <w:t>评价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ascii="黑体" w:hAnsi="黑体" w:eastAsia="黑体"/>
                <w:color w:val="auto"/>
                <w:sz w:val="24"/>
                <w:szCs w:val="28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8"/>
              </w:rPr>
              <w:t>指标</w:t>
            </w:r>
          </w:p>
        </w:tc>
        <w:tc>
          <w:tcPr>
            <w:tcW w:w="5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ascii="黑体" w:hAnsi="黑体" w:eastAsia="黑体"/>
                <w:color w:val="auto"/>
                <w:sz w:val="24"/>
                <w:szCs w:val="28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8"/>
              </w:rPr>
              <w:t>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ascii="黑体" w:hAnsi="黑体" w:eastAsia="黑体"/>
                <w:color w:val="auto"/>
                <w:sz w:val="24"/>
                <w:szCs w:val="28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8"/>
              </w:rPr>
              <w:t>值</w:t>
            </w:r>
          </w:p>
        </w:tc>
        <w:tc>
          <w:tcPr>
            <w:tcW w:w="71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ascii="黑体" w:hAnsi="黑体" w:eastAsia="黑体"/>
                <w:color w:val="auto"/>
                <w:sz w:val="24"/>
                <w:szCs w:val="28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8"/>
              </w:rPr>
              <w:t>评价要素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92" w:hRule="atLeast"/>
          <w:jc w:val="center"/>
        </w:trPr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autoSpaceDE w:val="0"/>
              <w:autoSpaceDN w:val="0"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8"/>
              </w:rPr>
              <w:t>目标</w:t>
            </w:r>
          </w:p>
          <w:p>
            <w:pPr>
              <w:keepNext w:val="0"/>
              <w:keepLines w:val="0"/>
              <w:pageBreakBefore w:val="0"/>
              <w:kinsoku/>
              <w:wordWrap/>
              <w:topLinePunct w:val="0"/>
              <w:autoSpaceDE w:val="0"/>
              <w:autoSpaceDN w:val="0"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8"/>
              </w:rPr>
              <w:t>与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8"/>
              </w:rPr>
              <w:t>学情</w:t>
            </w:r>
          </w:p>
        </w:tc>
        <w:tc>
          <w:tcPr>
            <w:tcW w:w="5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8"/>
              </w:rPr>
              <w:t>20</w:t>
            </w:r>
          </w:p>
        </w:tc>
        <w:tc>
          <w:tcPr>
            <w:tcW w:w="716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color w:val="auto"/>
              </w:rPr>
            </w:pPr>
            <w:r>
              <w:rPr>
                <w:rFonts w:ascii="仿宋_GB2312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1.符合新时代对技术技能人才培养新要求，落实教育部颁布的公共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color w:val="auto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基础课程教学标准有关要求，紧扣学校专业人才培养方案和课程教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color w:val="auto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学安排，夯实学生科学文化基础，着力培养学生人文素养、职业素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color w:val="auto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养、信息素养，培养学生工匠精神、科学精神、创新精神和终身学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color w:val="auto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习能力。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color w:val="auto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2.教学目标表述明确、相互关联，重点突出、可评可测。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color w:val="auto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3.客观分析学生知识基础、认知能力、学习特点、专业特性等，详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实反映学生整体情况与个体差异，准确预判教学难点。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autoSpaceDE w:val="0"/>
              <w:autoSpaceDN w:val="0"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8"/>
              </w:rPr>
              <w:t>内容</w:t>
            </w:r>
          </w:p>
          <w:p>
            <w:pPr>
              <w:keepNext w:val="0"/>
              <w:keepLines w:val="0"/>
              <w:pageBreakBefore w:val="0"/>
              <w:kinsoku/>
              <w:wordWrap/>
              <w:topLinePunct w:val="0"/>
              <w:autoSpaceDE w:val="0"/>
              <w:autoSpaceDN w:val="0"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8"/>
              </w:rPr>
              <w:t>与</w:t>
            </w:r>
          </w:p>
          <w:p>
            <w:pPr>
              <w:keepNext w:val="0"/>
              <w:keepLines w:val="0"/>
              <w:pageBreakBefore w:val="0"/>
              <w:kinsoku/>
              <w:wordWrap/>
              <w:topLinePunct w:val="0"/>
              <w:autoSpaceDE w:val="0"/>
              <w:autoSpaceDN w:val="0"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8"/>
              </w:rPr>
              <w:t>策略</w:t>
            </w:r>
          </w:p>
        </w:tc>
        <w:tc>
          <w:tcPr>
            <w:tcW w:w="5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8"/>
              </w:rPr>
              <w:t>20</w:t>
            </w:r>
          </w:p>
        </w:tc>
        <w:tc>
          <w:tcPr>
            <w:tcW w:w="716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color w:val="auto"/>
              </w:rPr>
            </w:pPr>
            <w:r>
              <w:rPr>
                <w:rFonts w:ascii="仿宋_GB2312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1.思政课程按照“八个相统一”要求扎实推进创优建设；其他课程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color w:val="auto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注重落实课程思政要求，结合课程特点挖掘思政元素，有机融入课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color w:val="auto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程教学，达到润物无声的育人效果。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color w:val="auto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2.教学内容落实公共基础课程课标，突出思想性、科学性、基础性、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color w:val="auto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职业性和时代性，有效支撑教学目标的实现，内容选择科学严谨、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color w:val="auto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容量适度，安排合理、衔接有序、结构清晰，符合层次定位。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color w:val="auto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3.教材选用、使用符合《职业院校教材管理办法》等文件规定和要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color w:val="auto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求，配套提供丰富、优质学习资源；教案完整、规范、简明、真实。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color w:val="auto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4.教学设计科学合理，教学过程系统优化，流程环节构思得当，技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术应用预想合理，方法手段设计恰当，评价考核科学有效。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46" w:hRule="atLeast"/>
          <w:jc w:val="center"/>
        </w:trPr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8"/>
              </w:rPr>
              <w:t>实施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8"/>
              </w:rPr>
              <w:t>与</w:t>
            </w:r>
          </w:p>
          <w:p>
            <w:pPr>
              <w:keepNext w:val="0"/>
              <w:keepLines w:val="0"/>
              <w:pageBreakBefore w:val="0"/>
              <w:kinsoku/>
              <w:wordWrap/>
              <w:topLinePunct w:val="0"/>
              <w:autoSpaceDE w:val="0"/>
              <w:autoSpaceDN w:val="0"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8"/>
              </w:rPr>
              <w:t>成效</w:t>
            </w:r>
          </w:p>
        </w:tc>
        <w:tc>
          <w:tcPr>
            <w:tcW w:w="5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8"/>
              </w:rPr>
              <w:t>30</w:t>
            </w:r>
          </w:p>
        </w:tc>
        <w:tc>
          <w:tcPr>
            <w:tcW w:w="716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color w:val="auto"/>
              </w:rPr>
            </w:pPr>
            <w:r>
              <w:rPr>
                <w:rFonts w:ascii="仿宋_GB2312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1.教育思想和教学理念先进，遵循学生认知规律，反映日常教学实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color w:val="auto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际。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color w:val="auto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2.按照教学设计实施教学，关注重点、难点的解决，能够针对学习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color w:val="auto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反馈及时调整教学，突出学生中心，实行因材施教。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color w:val="auto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3.教学环境真实，满足教学需要，教学活动开展有序，教学互动深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color w:val="auto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入有效，教学气氛生动活泼，学生学有所得。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color w:val="auto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4.关注教与学行为数据采集，针对目标要求开展考核与评价。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color w:val="auto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5.创新教学方式方法，合理运用前沿信息技术、数字化教学资源、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设施设备改造传统教学，提升学习效果、提高教学与管理成效。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26" w:hRule="atLeast"/>
          <w:jc w:val="center"/>
        </w:trPr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8"/>
              </w:rPr>
              <w:t>教学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8"/>
              </w:rPr>
              <w:t>素养</w:t>
            </w:r>
          </w:p>
        </w:tc>
        <w:tc>
          <w:tcPr>
            <w:tcW w:w="5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8"/>
              </w:rPr>
              <w:t>15</w:t>
            </w:r>
          </w:p>
        </w:tc>
        <w:tc>
          <w:tcPr>
            <w:tcW w:w="716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color w:val="auto"/>
              </w:rPr>
            </w:pPr>
            <w:r>
              <w:rPr>
                <w:rFonts w:ascii="仿宋_GB2312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1.展现新时代职业院校教师良好的师德师风、教学能力和信息素养，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color w:val="auto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发挥教学团队协作优势；老中青传帮带效果显著。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color w:val="auto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2.教师课堂教学态度认真、严谨规范、表述清晰、亲和力强、仪态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color w:val="auto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自然。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color w:val="auto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3.教学研究深入，学术功底扎实，参赛资料客观记载、真实反映、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color w:val="auto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反思深刻；决赛现场展示聚焦主题、观点正确、思路清晰、逻辑严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谨、表达流畅。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43" w:hRule="atLeast"/>
          <w:jc w:val="center"/>
        </w:trPr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8"/>
              </w:rPr>
              <w:t>特色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8"/>
              </w:rPr>
              <w:t>创新</w:t>
            </w:r>
          </w:p>
        </w:tc>
        <w:tc>
          <w:tcPr>
            <w:tcW w:w="5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8"/>
              </w:rPr>
              <w:t>15</w:t>
            </w:r>
          </w:p>
        </w:tc>
        <w:tc>
          <w:tcPr>
            <w:tcW w:w="716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color w:val="auto"/>
              </w:rPr>
            </w:pPr>
            <w:r>
              <w:rPr>
                <w:rFonts w:ascii="仿宋_GB2312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1.在落实立德树人、文化素养提升、课程思政建设等方面有行之有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color w:val="auto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效的做法，能够调动学生全面深度参与，给学生深刻的学习体验。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color w:val="auto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2.在落实国家教学标准、推进“三教”改革、运用信息技术等方面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color w:val="auto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有特色、有创新。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3.具有较大借鉴和推广价值。</w:t>
            </w:r>
          </w:p>
        </w:tc>
      </w:tr>
      <w:bookmarkEnd w:id="2"/>
    </w:tbl>
    <w:p>
      <w:pPr>
        <w:keepNext w:val="0"/>
        <w:keepLines w:val="0"/>
        <w:pageBreakBefore w:val="0"/>
        <w:kinsoku/>
        <w:wordWrap/>
        <w:overflowPunct w:val="0"/>
        <w:topLinePunct w:val="0"/>
        <w:bidi w:val="0"/>
        <w:adjustRightInd/>
        <w:snapToGrid w:val="0"/>
        <w:spacing w:line="500" w:lineRule="exact"/>
        <w:textAlignment w:val="auto"/>
        <w:rPr>
          <w:rFonts w:hint="eastAsia" w:ascii="黑体" w:hAnsi="黑体" w:eastAsia="黑体"/>
          <w:color w:val="auto"/>
          <w:sz w:val="32"/>
        </w:rPr>
      </w:pPr>
    </w:p>
    <w:p>
      <w:pPr>
        <w:pStyle w:val="2"/>
        <w:rPr>
          <w:rFonts w:hint="eastAsia"/>
          <w:color w:val="auto"/>
        </w:rPr>
      </w:pPr>
    </w:p>
    <w:p>
      <w:pPr>
        <w:keepNext w:val="0"/>
        <w:keepLines w:val="0"/>
        <w:pageBreakBefore w:val="0"/>
        <w:kinsoku/>
        <w:wordWrap/>
        <w:overflowPunct w:val="0"/>
        <w:topLinePunct w:val="0"/>
        <w:bidi w:val="0"/>
        <w:adjustRightInd/>
        <w:snapToGrid w:val="0"/>
        <w:spacing w:line="500" w:lineRule="exact"/>
        <w:textAlignment w:val="auto"/>
        <w:rPr>
          <w:rFonts w:ascii="黑体" w:hAnsi="黑体" w:eastAsia="黑体"/>
          <w:color w:val="auto"/>
          <w:sz w:val="32"/>
        </w:rPr>
      </w:pPr>
      <w:r>
        <w:rPr>
          <w:rFonts w:hint="eastAsia" w:ascii="黑体" w:hAnsi="黑体" w:eastAsia="黑体"/>
          <w:color w:val="auto"/>
          <w:sz w:val="32"/>
        </w:rPr>
        <w:t>二、专业（技能）课程组</w:t>
      </w:r>
    </w:p>
    <w:tbl>
      <w:tblPr>
        <w:tblStyle w:val="3"/>
        <w:tblW w:w="87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6"/>
        <w:gridCol w:w="572"/>
        <w:gridCol w:w="76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4" w:hRule="atLeast"/>
          <w:tblHeader/>
          <w:jc w:val="center"/>
        </w:trPr>
        <w:tc>
          <w:tcPr>
            <w:tcW w:w="596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ascii="黑体" w:hAnsi="黑体" w:eastAsia="黑体"/>
                <w:color w:val="auto"/>
                <w:sz w:val="24"/>
                <w:szCs w:val="28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8"/>
              </w:rPr>
              <w:t>评价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ascii="黑体" w:hAnsi="黑体" w:eastAsia="黑体"/>
                <w:color w:val="auto"/>
                <w:sz w:val="24"/>
                <w:szCs w:val="28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8"/>
              </w:rPr>
              <w:t>指标</w:t>
            </w:r>
          </w:p>
        </w:tc>
        <w:tc>
          <w:tcPr>
            <w:tcW w:w="572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ascii="黑体" w:hAnsi="黑体" w:eastAsia="黑体"/>
                <w:color w:val="auto"/>
                <w:sz w:val="24"/>
                <w:szCs w:val="28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8"/>
              </w:rPr>
              <w:t>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ascii="黑体" w:hAnsi="黑体" w:eastAsia="黑体"/>
                <w:color w:val="auto"/>
                <w:sz w:val="24"/>
                <w:szCs w:val="28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8"/>
              </w:rPr>
              <w:t>值</w:t>
            </w:r>
          </w:p>
        </w:tc>
        <w:tc>
          <w:tcPr>
            <w:tcW w:w="7607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ascii="黑体" w:hAnsi="黑体" w:eastAsia="黑体"/>
                <w:color w:val="auto"/>
                <w:sz w:val="24"/>
                <w:szCs w:val="28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8"/>
              </w:rPr>
              <w:t>评价要素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25" w:hRule="atLeast"/>
          <w:jc w:val="center"/>
        </w:trPr>
        <w:tc>
          <w:tcPr>
            <w:tcW w:w="596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autoSpaceDE w:val="0"/>
              <w:autoSpaceDN w:val="0"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8"/>
              </w:rPr>
              <w:t>目标</w:t>
            </w:r>
          </w:p>
          <w:p>
            <w:pPr>
              <w:keepNext w:val="0"/>
              <w:keepLines w:val="0"/>
              <w:pageBreakBefore w:val="0"/>
              <w:kinsoku/>
              <w:wordWrap/>
              <w:topLinePunct w:val="0"/>
              <w:autoSpaceDE w:val="0"/>
              <w:autoSpaceDN w:val="0"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8"/>
              </w:rPr>
              <w:t>与</w:t>
            </w:r>
          </w:p>
          <w:p>
            <w:pPr>
              <w:keepNext w:val="0"/>
              <w:keepLines w:val="0"/>
              <w:pageBreakBefore w:val="0"/>
              <w:kinsoku/>
              <w:wordWrap/>
              <w:topLinePunct w:val="0"/>
              <w:autoSpaceDE w:val="0"/>
              <w:autoSpaceDN w:val="0"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8"/>
              </w:rPr>
              <w:t>学情</w:t>
            </w:r>
          </w:p>
        </w:tc>
        <w:tc>
          <w:tcPr>
            <w:tcW w:w="5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8"/>
              </w:rPr>
              <w:t>20</w:t>
            </w:r>
          </w:p>
        </w:tc>
        <w:tc>
          <w:tcPr>
            <w:tcW w:w="760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color w:val="auto"/>
              </w:rPr>
            </w:pPr>
            <w:r>
              <w:rPr>
                <w:rFonts w:ascii="仿宋_GB2312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1.适应新时代对高素质技术技能人才培养的新要求，符合教育部发布的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color w:val="auto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专业教学标准、实训教学条件建设标准、岗位实习标准等有关要求，涉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color w:val="auto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及职业技能等级证书的课程教学内容，还应对接有关职业技能等级标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color w:val="auto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准。紧扣学校专业人才培养方案和课程标准，夯实学生专业基础和专业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color w:val="auto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能力，培育学生职业道德、职业能力、信息素养、创新能力、工程思维，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color w:val="auto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培养学生科学精神、工匠精神和终身学习能力。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color w:val="auto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2.教学目标表述明确、相互关联，重点突出、可评可测。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color w:val="auto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3.客观分析学生的知识和技能基础、认知和实践能力、学习特点等，详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实反映学生整体情况与个体差异，准确预判教学难点。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7" w:hRule="atLeast"/>
          <w:jc w:val="center"/>
        </w:trPr>
        <w:tc>
          <w:tcPr>
            <w:tcW w:w="596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autoSpaceDE w:val="0"/>
              <w:autoSpaceDN w:val="0"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8"/>
              </w:rPr>
              <w:t>内容</w:t>
            </w:r>
          </w:p>
          <w:p>
            <w:pPr>
              <w:keepNext w:val="0"/>
              <w:keepLines w:val="0"/>
              <w:pageBreakBefore w:val="0"/>
              <w:kinsoku/>
              <w:wordWrap/>
              <w:topLinePunct w:val="0"/>
              <w:autoSpaceDE w:val="0"/>
              <w:autoSpaceDN w:val="0"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8"/>
              </w:rPr>
              <w:t>与</w:t>
            </w:r>
          </w:p>
          <w:p>
            <w:pPr>
              <w:keepNext w:val="0"/>
              <w:keepLines w:val="0"/>
              <w:pageBreakBefore w:val="0"/>
              <w:kinsoku/>
              <w:wordWrap/>
              <w:topLinePunct w:val="0"/>
              <w:autoSpaceDE w:val="0"/>
              <w:autoSpaceDN w:val="0"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8"/>
              </w:rPr>
              <w:t>策略</w:t>
            </w:r>
          </w:p>
        </w:tc>
        <w:tc>
          <w:tcPr>
            <w:tcW w:w="5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8"/>
              </w:rPr>
              <w:t>20</w:t>
            </w:r>
          </w:p>
        </w:tc>
        <w:tc>
          <w:tcPr>
            <w:tcW w:w="760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color w:val="auto"/>
              </w:rPr>
            </w:pPr>
            <w:r>
              <w:rPr>
                <w:rFonts w:ascii="仿宋_GB2312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1.结合课程特点、思维方法和价值理念，挖掘提炼专业知识体系中所蕴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color w:val="auto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含的思想价值和精神内涵，有机融入课程教学，达到润物无声的育人效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color w:val="auto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果。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color w:val="auto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2.教学内容落实课程标准，对接新产业、新业态、新模式、新职业，促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color w:val="auto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进书证融通，有效支撑教学目标的实现，内容选择科学严谨、容量适度，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color w:val="auto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安排合理、衔接有序、结构清晰，符合层次定位；实习实训内容与专业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color w:val="auto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课程教学内容匹配，强化核心技术技能训练。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color w:val="auto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3.教材选用符合《职业院校教材管理办法》等文件规定和要求，配套提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color w:val="auto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供丰富、优质学习资源，鼓励使用新型活页式、工作手册式教材；教案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color w:val="auto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完整、规范、简明、真实。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color w:val="auto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4.教学设计合理，教学过程系统优化，流程环节构思得当，技术应用预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color w:val="auto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想合理，方法手段设计恰当，评价考核科学有效，突出项目式、任务式、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案例式、情境式等教学方式。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96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8"/>
              </w:rPr>
              <w:t>实施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8"/>
              </w:rPr>
              <w:t>与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8"/>
              </w:rPr>
              <w:t>成效</w:t>
            </w:r>
          </w:p>
        </w:tc>
        <w:tc>
          <w:tcPr>
            <w:tcW w:w="5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8"/>
              </w:rPr>
              <w:t>30</w:t>
            </w:r>
          </w:p>
        </w:tc>
        <w:tc>
          <w:tcPr>
            <w:tcW w:w="760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color w:val="auto"/>
              </w:rPr>
            </w:pPr>
            <w:r>
              <w:rPr>
                <w:rFonts w:ascii="仿宋_GB2312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1.教育思想和教学理念先进，落实德技并修、工学结合，遵循职业教育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color w:val="auto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规律、学生认知规律和技术技能人才成长规律，反映日常教学实际。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color w:val="auto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2.按照教学设计实施教学，关注技术技能教学重点、难点的解决，能够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color w:val="auto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针对学习和实践反馈及时调整教学，突出学生中心，落实理实一体化，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color w:val="auto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强调知行合一，实行因材施教；针对不同生源特点，体现灵活的教学组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color w:val="auto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织形式。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color w:val="auto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3.教学环境真实，能够满足教学需要，教学活动安全有序，教学互动深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color w:val="auto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入有效，教学气氛生动活泼，学生乐学、学会。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color w:val="auto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4.关注教与学行为数据采集，针对目标要求开展教学与实践的考核与评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color w:val="auto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价。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color w:val="auto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5.创新教学方式方法，合理运用前沿信息技术、数字化资源、设施设备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改造传统教学与实习实训，提升学习效果，提高教学与管理效能。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596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8"/>
              </w:rPr>
              <w:t>教学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8"/>
              </w:rPr>
              <w:t>素养</w:t>
            </w:r>
          </w:p>
        </w:tc>
        <w:tc>
          <w:tcPr>
            <w:tcW w:w="5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8"/>
              </w:rPr>
              <w:t>15</w:t>
            </w:r>
          </w:p>
        </w:tc>
        <w:tc>
          <w:tcPr>
            <w:tcW w:w="760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color w:val="auto"/>
              </w:rPr>
            </w:pPr>
            <w:r>
              <w:rPr>
                <w:rFonts w:ascii="仿宋_GB2312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1.展现新时代职业院校教师良好的师德师风、教学能力、实践能力和信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color w:val="auto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息素养，发挥教学团队协作优势；老中青传帮带效果显著。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color w:val="auto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2.课堂教学态度认真、严谨规范、表述清晰、亲和力强、仪态自然。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color w:val="auto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3.实训教学讲解和操作配合恰当，规范娴熟、示范有效，符合职业岗位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color w:val="auto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要求，展现良好“双师”素养。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color w:val="auto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4.教学研究深入，学术功底扎实，参赛资料客观记载、真实反映、反思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color w:val="auto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深刻；决赛现场展示聚焦主题、观点正确、思路清晰、逻辑严谨、表达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流畅。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15" w:hRule="atLeast"/>
          <w:jc w:val="center"/>
        </w:trPr>
        <w:tc>
          <w:tcPr>
            <w:tcW w:w="596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8"/>
              </w:rPr>
              <w:t>特色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8"/>
              </w:rPr>
              <w:t>创新</w:t>
            </w:r>
          </w:p>
        </w:tc>
        <w:tc>
          <w:tcPr>
            <w:tcW w:w="572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8"/>
              </w:rPr>
              <w:t>15</w:t>
            </w:r>
          </w:p>
        </w:tc>
        <w:tc>
          <w:tcPr>
            <w:tcW w:w="7607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color w:val="auto"/>
              </w:rPr>
            </w:pPr>
            <w:r>
              <w:rPr>
                <w:rFonts w:ascii="仿宋_GB2312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1.在落实立德树人、德技并修，课程思政，工学结合、知行合一等方面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color w:val="auto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有行之有效的做法，能够调动学生全面深度参与，给学生深刻的学习体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color w:val="auto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验，促进学生职业综合素质和行动能力的明显提升。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color w:val="auto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2.在落实国家教学标准、推进“三教”改革、运用信息技术等方面有特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color w:val="auto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色、有创新。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3.具有较大借鉴和推广价值。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ngLiU">
    <w:altName w:val="PMingLiU-ExtB"/>
    <w:panose1 w:val="02020509000000000000"/>
    <w:charset w:val="88"/>
    <w:family w:val="modern"/>
    <w:pitch w:val="default"/>
    <w:sig w:usb0="00000000" w:usb1="00000000" w:usb2="00000016" w:usb3="00000000" w:csb0="0010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IzOTQ4YThjYmRhZDE1ZTYyMTI4ZDlkNjYwOTNhMzEifQ=="/>
  </w:docVars>
  <w:rsids>
    <w:rsidRoot w:val="6D0F5326"/>
    <w:rsid w:val="6D0F5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标题 #1"/>
    <w:basedOn w:val="1"/>
    <w:qFormat/>
    <w:uiPriority w:val="0"/>
    <w:pPr>
      <w:shd w:val="clear" w:color="auto" w:fill="FFFFFF"/>
      <w:spacing w:line="672" w:lineRule="exact"/>
      <w:jc w:val="center"/>
      <w:outlineLvl w:val="0"/>
    </w:pPr>
    <w:rPr>
      <w:rFonts w:ascii="MingLiU" w:hAnsi="MingLiU" w:eastAsia="MingLiU" w:cs="MingLiU"/>
      <w:kern w:val="0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2022-09-07T01:11:00Z</dcterms:created>
  <dc:creator>枫以</dc:creator>
  <cp:lastModifiedBy>枫以</cp:lastModifiedBy>
  <dcterms:modified xsi:type="dcterms:W3CDTF">2022-09-07T01:15:46Z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EA1B6E8E680946419AFCE7AEBF1C8FB3</vt:lpwstr>
  </property>
</Properties>
</file>