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eastAsia="方正小标宋_GBK"/>
          <w:b/>
          <w:sz w:val="32"/>
          <w:szCs w:val="32"/>
          <w:lang w:eastAsia="zh-CN"/>
        </w:rPr>
      </w:pPr>
      <w:r>
        <w:rPr>
          <w:rFonts w:hint="eastAsia" w:ascii="方正小标宋_GBK" w:hAnsi="宋体" w:eastAsia="方正小标宋_GBK"/>
          <w:sz w:val="44"/>
          <w:szCs w:val="44"/>
        </w:rPr>
        <w:t>福州英华职业学院专业建设标准</w:t>
      </w:r>
      <w:r>
        <w:rPr>
          <w:rFonts w:hint="eastAsia" w:ascii="方正小标宋_GBK" w:hAnsi="宋体" w:eastAsia="方正小标宋_GBK"/>
          <w:sz w:val="44"/>
          <w:szCs w:val="44"/>
          <w:lang w:eastAsia="zh-CN"/>
        </w:rPr>
        <w:t>（</w:t>
      </w:r>
      <w:r>
        <w:rPr>
          <w:rFonts w:hint="eastAsia" w:ascii="方正小标宋_GBK" w:hAnsi="宋体" w:eastAsia="方正小标宋_GBK"/>
          <w:sz w:val="44"/>
          <w:szCs w:val="44"/>
          <w:lang w:val="en-US" w:eastAsia="zh-CN"/>
        </w:rPr>
        <w:t>试行</w:t>
      </w:r>
      <w:r>
        <w:rPr>
          <w:rFonts w:hint="eastAsia" w:ascii="方正小标宋_GBK" w:hAnsi="宋体" w:eastAsia="方正小标宋_GBK"/>
          <w:sz w:val="44"/>
          <w:szCs w:val="44"/>
          <w:lang w:eastAsia="zh-CN"/>
        </w:rPr>
        <w:t>）</w:t>
      </w:r>
    </w:p>
    <w:tbl>
      <w:tblPr>
        <w:tblStyle w:val="6"/>
        <w:tblW w:w="1499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19"/>
        <w:gridCol w:w="1418"/>
        <w:gridCol w:w="4536"/>
        <w:gridCol w:w="7229"/>
        <w:gridCol w:w="69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tblHeader/>
          <w:jc w:val="center"/>
        </w:trPr>
        <w:tc>
          <w:tcPr>
            <w:tcW w:w="1119" w:type="dxa"/>
            <w:vMerge w:val="restart"/>
            <w:vAlign w:val="center"/>
          </w:tcPr>
          <w:p>
            <w:pPr>
              <w:jc w:val="center"/>
              <w:rPr>
                <w:rFonts w:hint="eastAsia" w:ascii="仿宋" w:hAnsi="仿宋" w:eastAsia="仿宋" w:cs="仿宋"/>
                <w:b/>
                <w:sz w:val="24"/>
                <w:szCs w:val="24"/>
              </w:rPr>
            </w:pPr>
            <w:r>
              <w:rPr>
                <w:rFonts w:hint="eastAsia" w:ascii="仿宋" w:hAnsi="仿宋" w:eastAsia="仿宋" w:cs="仿宋"/>
                <w:b/>
                <w:sz w:val="24"/>
                <w:szCs w:val="24"/>
              </w:rPr>
              <w:t>一级</w:t>
            </w:r>
          </w:p>
          <w:p>
            <w:pPr>
              <w:jc w:val="center"/>
              <w:rPr>
                <w:rFonts w:hint="eastAsia" w:ascii="仿宋" w:hAnsi="仿宋" w:eastAsia="仿宋" w:cs="仿宋"/>
                <w:b/>
                <w:sz w:val="24"/>
                <w:szCs w:val="24"/>
              </w:rPr>
            </w:pPr>
            <w:r>
              <w:rPr>
                <w:rFonts w:hint="eastAsia" w:ascii="仿宋" w:hAnsi="仿宋" w:eastAsia="仿宋" w:cs="仿宋"/>
                <w:b/>
                <w:sz w:val="24"/>
                <w:szCs w:val="24"/>
              </w:rPr>
              <w:t>指标</w:t>
            </w:r>
          </w:p>
        </w:tc>
        <w:tc>
          <w:tcPr>
            <w:tcW w:w="1418" w:type="dxa"/>
            <w:vMerge w:val="restart"/>
            <w:vAlign w:val="center"/>
          </w:tcPr>
          <w:p>
            <w:pPr>
              <w:jc w:val="center"/>
              <w:rPr>
                <w:rFonts w:hint="eastAsia" w:ascii="仿宋" w:hAnsi="仿宋" w:eastAsia="仿宋" w:cs="仿宋"/>
                <w:b/>
                <w:sz w:val="24"/>
                <w:szCs w:val="24"/>
              </w:rPr>
            </w:pPr>
            <w:r>
              <w:rPr>
                <w:rFonts w:hint="eastAsia" w:ascii="仿宋" w:hAnsi="仿宋" w:eastAsia="仿宋" w:cs="仿宋"/>
                <w:b/>
                <w:sz w:val="24"/>
                <w:szCs w:val="24"/>
              </w:rPr>
              <w:t>二级指标</w:t>
            </w:r>
          </w:p>
        </w:tc>
        <w:tc>
          <w:tcPr>
            <w:tcW w:w="11765" w:type="dxa"/>
            <w:gridSpan w:val="2"/>
            <w:vAlign w:val="center"/>
          </w:tcPr>
          <w:p>
            <w:pPr>
              <w:jc w:val="center"/>
              <w:rPr>
                <w:rFonts w:hint="eastAsia" w:ascii="仿宋" w:hAnsi="仿宋" w:eastAsia="仿宋" w:cs="仿宋"/>
                <w:b/>
                <w:sz w:val="24"/>
                <w:szCs w:val="24"/>
              </w:rPr>
            </w:pPr>
            <w:r>
              <w:rPr>
                <w:rFonts w:hint="eastAsia" w:ascii="仿宋" w:hAnsi="仿宋" w:eastAsia="仿宋" w:cs="仿宋"/>
                <w:b/>
                <w:sz w:val="24"/>
                <w:szCs w:val="24"/>
              </w:rPr>
              <w:t>指标内涵与标准</w:t>
            </w:r>
          </w:p>
        </w:tc>
        <w:tc>
          <w:tcPr>
            <w:tcW w:w="690" w:type="dxa"/>
            <w:vMerge w:val="restart"/>
            <w:vAlign w:val="center"/>
          </w:tcPr>
          <w:p>
            <w:pPr>
              <w:jc w:val="center"/>
              <w:rPr>
                <w:rFonts w:ascii="宋体"/>
                <w:b/>
                <w:sz w:val="24"/>
              </w:rPr>
            </w:pPr>
            <w:r>
              <w:rPr>
                <w:rFonts w:hint="eastAsia" w:ascii="仿宋" w:hAnsi="仿宋" w:eastAsia="仿宋" w:cs="仿宋"/>
                <w:b/>
                <w:sz w:val="24"/>
              </w:rPr>
              <w:t>得分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tblHeader/>
          <w:jc w:val="center"/>
        </w:trPr>
        <w:tc>
          <w:tcPr>
            <w:tcW w:w="1119" w:type="dxa"/>
            <w:vMerge w:val="continue"/>
            <w:vAlign w:val="center"/>
          </w:tcPr>
          <w:p>
            <w:pPr>
              <w:jc w:val="center"/>
              <w:rPr>
                <w:rFonts w:hint="eastAsia" w:ascii="仿宋" w:hAnsi="仿宋" w:eastAsia="仿宋" w:cs="仿宋"/>
                <w:b/>
                <w:sz w:val="24"/>
                <w:szCs w:val="24"/>
              </w:rPr>
            </w:pPr>
          </w:p>
        </w:tc>
        <w:tc>
          <w:tcPr>
            <w:tcW w:w="1418" w:type="dxa"/>
            <w:vMerge w:val="continue"/>
            <w:vAlign w:val="center"/>
          </w:tcPr>
          <w:p>
            <w:pPr>
              <w:jc w:val="center"/>
              <w:rPr>
                <w:rFonts w:hint="eastAsia" w:ascii="仿宋" w:hAnsi="仿宋" w:eastAsia="仿宋" w:cs="仿宋"/>
                <w:b/>
                <w:sz w:val="24"/>
                <w:szCs w:val="24"/>
              </w:rPr>
            </w:pPr>
          </w:p>
        </w:tc>
        <w:tc>
          <w:tcPr>
            <w:tcW w:w="4536" w:type="dxa"/>
            <w:vAlign w:val="center"/>
          </w:tcPr>
          <w:p>
            <w:pPr>
              <w:spacing w:line="320" w:lineRule="exact"/>
              <w:jc w:val="center"/>
              <w:rPr>
                <w:rFonts w:hint="eastAsia" w:ascii="仿宋" w:hAnsi="仿宋" w:eastAsia="仿宋" w:cs="仿宋"/>
                <w:snapToGrid w:val="0"/>
                <w:kern w:val="0"/>
                <w:sz w:val="24"/>
                <w:szCs w:val="24"/>
              </w:rPr>
            </w:pPr>
            <w:r>
              <w:rPr>
                <w:rFonts w:hint="eastAsia" w:ascii="仿宋" w:hAnsi="仿宋" w:eastAsia="仿宋" w:cs="仿宋"/>
                <w:b/>
                <w:sz w:val="24"/>
                <w:szCs w:val="24"/>
              </w:rPr>
              <w:t>一般专业建设内涵与标准</w:t>
            </w:r>
          </w:p>
        </w:tc>
        <w:tc>
          <w:tcPr>
            <w:tcW w:w="7229" w:type="dxa"/>
            <w:vAlign w:val="center"/>
          </w:tcPr>
          <w:p>
            <w:pPr>
              <w:spacing w:line="320" w:lineRule="exact"/>
              <w:jc w:val="center"/>
              <w:rPr>
                <w:rFonts w:hint="eastAsia" w:ascii="仿宋" w:hAnsi="仿宋" w:eastAsia="仿宋" w:cs="仿宋"/>
                <w:b/>
                <w:sz w:val="24"/>
                <w:szCs w:val="24"/>
              </w:rPr>
            </w:pPr>
            <w:r>
              <w:rPr>
                <w:rFonts w:hint="eastAsia" w:ascii="仿宋" w:hAnsi="仿宋" w:eastAsia="仿宋" w:cs="仿宋"/>
                <w:b/>
                <w:sz w:val="24"/>
                <w:szCs w:val="24"/>
                <w:lang w:eastAsia="zh-CN"/>
              </w:rPr>
              <w:t>核心专业</w:t>
            </w:r>
            <w:r>
              <w:rPr>
                <w:rFonts w:hint="eastAsia" w:ascii="仿宋" w:hAnsi="仿宋" w:eastAsia="仿宋" w:cs="仿宋"/>
                <w:b/>
                <w:sz w:val="24"/>
                <w:szCs w:val="24"/>
              </w:rPr>
              <w:t>建设内涵与标准</w:t>
            </w:r>
          </w:p>
        </w:tc>
        <w:tc>
          <w:tcPr>
            <w:tcW w:w="690" w:type="dxa"/>
            <w:vMerge w:val="continue"/>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1119" w:type="dxa"/>
            <w:vMerge w:val="restart"/>
            <w:vAlign w:val="center"/>
          </w:tcPr>
          <w:p>
            <w:pPr>
              <w:spacing w:line="320" w:lineRule="exact"/>
              <w:jc w:val="center"/>
              <w:rPr>
                <w:rFonts w:hint="eastAsia" w:ascii="仿宋" w:hAnsi="仿宋" w:eastAsia="仿宋" w:cs="仿宋"/>
                <w:b/>
                <w:sz w:val="24"/>
                <w:szCs w:val="24"/>
              </w:rPr>
            </w:pPr>
            <w:r>
              <w:rPr>
                <w:rFonts w:hint="eastAsia" w:ascii="仿宋" w:hAnsi="仿宋" w:eastAsia="仿宋" w:cs="仿宋"/>
                <w:b/>
                <w:sz w:val="24"/>
                <w:szCs w:val="24"/>
              </w:rPr>
              <w:t>1.专业定位、规划与专业管理（6分）</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1.1专业定位</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snapToGrid w:val="0"/>
                <w:kern w:val="0"/>
                <w:sz w:val="24"/>
                <w:szCs w:val="24"/>
              </w:rPr>
            </w:pPr>
            <w:r>
              <w:rPr>
                <w:rFonts w:hint="eastAsia" w:ascii="仿宋" w:hAnsi="仿宋" w:eastAsia="仿宋" w:cs="仿宋"/>
                <w:b/>
                <w:bCs/>
                <w:snapToGrid w:val="0"/>
                <w:kern w:val="0"/>
                <w:sz w:val="24"/>
                <w:szCs w:val="24"/>
              </w:rPr>
              <w:t>（2分）</w:t>
            </w:r>
            <w:r>
              <w:rPr>
                <w:rFonts w:hint="eastAsia" w:ascii="仿宋" w:hAnsi="仿宋" w:eastAsia="仿宋" w:cs="仿宋"/>
                <w:snapToGrid w:val="0"/>
                <w:kern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snapToGrid w:val="0"/>
                <w:kern w:val="0"/>
                <w:sz w:val="24"/>
                <w:szCs w:val="24"/>
              </w:rPr>
            </w:pP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1.专业定位适应国家、地方经济社会和行业发展需要；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2.每年开展专业调研，主题明确</w:t>
            </w:r>
            <w:r>
              <w:rPr>
                <w:rFonts w:hint="eastAsia" w:ascii="仿宋" w:hAnsi="仿宋" w:eastAsia="仿宋" w:cs="仿宋"/>
                <w:snapToGrid w:val="0"/>
                <w:kern w:val="0"/>
                <w:sz w:val="24"/>
                <w:szCs w:val="24"/>
                <w:highlight w:val="none"/>
              </w:rPr>
              <w:t>；数据</w:t>
            </w:r>
            <w:r>
              <w:rPr>
                <w:rFonts w:hint="eastAsia" w:ascii="仿宋" w:hAnsi="仿宋" w:eastAsia="仿宋" w:cs="仿宋"/>
                <w:snapToGrid w:val="0"/>
                <w:kern w:val="0"/>
                <w:sz w:val="24"/>
                <w:szCs w:val="24"/>
                <w:highlight w:val="none"/>
                <w:lang w:val="en-US" w:eastAsia="zh-CN"/>
              </w:rPr>
              <w:t>翔实</w:t>
            </w:r>
            <w:r>
              <w:rPr>
                <w:rFonts w:hint="eastAsia" w:ascii="仿宋" w:hAnsi="仿宋" w:eastAsia="仿宋" w:cs="仿宋"/>
                <w:snapToGrid w:val="0"/>
                <w:kern w:val="0"/>
                <w:sz w:val="24"/>
                <w:szCs w:val="24"/>
                <w:highlight w:val="none"/>
              </w:rPr>
              <w:t>可信，</w:t>
            </w:r>
            <w:r>
              <w:rPr>
                <w:rFonts w:hint="eastAsia" w:ascii="仿宋" w:hAnsi="仿宋" w:eastAsia="仿宋" w:cs="仿宋"/>
                <w:snapToGrid w:val="0"/>
                <w:kern w:val="0"/>
                <w:sz w:val="24"/>
                <w:szCs w:val="24"/>
              </w:rPr>
              <w:t>分析科学合理；动态调整、完善人才培养方案。</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1.适应经济结构调整和产业转型升级需要，根据经济社会和产业发展新趋势对技术技能人才需求的变化，从专业与产业协同的视角谋划专业建设，组建以</w:t>
            </w:r>
            <w:r>
              <w:rPr>
                <w:rFonts w:hint="eastAsia" w:ascii="仿宋" w:hAnsi="仿宋" w:eastAsia="仿宋" w:cs="仿宋"/>
                <w:snapToGrid w:val="0"/>
                <w:kern w:val="0"/>
                <w:sz w:val="24"/>
                <w:szCs w:val="24"/>
                <w:lang w:eastAsia="zh-CN"/>
              </w:rPr>
              <w:t>核心专业</w:t>
            </w:r>
            <w:r>
              <w:rPr>
                <w:rFonts w:hint="eastAsia" w:ascii="仿宋" w:hAnsi="仿宋" w:eastAsia="仿宋" w:cs="仿宋"/>
                <w:snapToGrid w:val="0"/>
                <w:kern w:val="0"/>
                <w:sz w:val="24"/>
                <w:szCs w:val="24"/>
              </w:rPr>
              <w:t>为龙头、相关专业为支撑的专业群，发挥专业群的集聚效应和整合功能，实现人才培养供给侧和产业需求侧结构要素的全方位融合；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 以</w:t>
            </w:r>
            <w:r>
              <w:rPr>
                <w:rFonts w:hint="eastAsia" w:ascii="仿宋" w:hAnsi="仿宋" w:eastAsia="仿宋" w:cs="仿宋"/>
                <w:snapToGrid w:val="0"/>
                <w:kern w:val="0"/>
                <w:sz w:val="24"/>
                <w:szCs w:val="24"/>
                <w:lang w:eastAsia="zh-CN"/>
              </w:rPr>
              <w:t>核心专业</w:t>
            </w:r>
            <w:r>
              <w:rPr>
                <w:rFonts w:hint="eastAsia" w:ascii="仿宋" w:hAnsi="仿宋" w:eastAsia="仿宋" w:cs="仿宋"/>
                <w:snapToGrid w:val="0"/>
                <w:kern w:val="0"/>
                <w:sz w:val="24"/>
                <w:szCs w:val="24"/>
              </w:rPr>
              <w:t>为基础构建专业群，发挥</w:t>
            </w:r>
            <w:r>
              <w:rPr>
                <w:rFonts w:hint="eastAsia" w:ascii="仿宋" w:hAnsi="仿宋" w:eastAsia="仿宋" w:cs="仿宋"/>
                <w:snapToGrid w:val="0"/>
                <w:kern w:val="0"/>
                <w:sz w:val="24"/>
                <w:szCs w:val="24"/>
                <w:lang w:eastAsia="zh-CN"/>
              </w:rPr>
              <w:t>核心专业</w:t>
            </w:r>
            <w:r>
              <w:rPr>
                <w:rFonts w:hint="eastAsia" w:ascii="仿宋" w:hAnsi="仿宋" w:eastAsia="仿宋" w:cs="仿宋"/>
                <w:snapToGrid w:val="0"/>
                <w:kern w:val="0"/>
                <w:sz w:val="24"/>
                <w:szCs w:val="24"/>
              </w:rPr>
              <w:t>优势特色，将产业链上的相关专业凝聚在一起，以专业群的集聚有效应对市场需求、产业升级、技术进步对人才供给的变动，引领带动群内相关专业提升内涵质量，实现资源共享、优势互补和综合利用，提高人才培养前瞻性、适应性和针对性。</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1119" w:type="dxa"/>
            <w:vMerge w:val="continue"/>
            <w:vAlign w:val="center"/>
          </w:tcPr>
          <w:p>
            <w:pPr>
              <w:jc w:val="left"/>
              <w:rPr>
                <w:rFonts w:hint="eastAsia" w:ascii="仿宋" w:hAnsi="仿宋" w:eastAsia="仿宋" w:cs="仿宋"/>
                <w:snapToGrid w:val="0"/>
                <w:kern w:val="0"/>
                <w:sz w:val="24"/>
                <w:szCs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1.2专业规划</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snapToGrid w:val="0"/>
                <w:kern w:val="0"/>
                <w:sz w:val="24"/>
                <w:szCs w:val="24"/>
              </w:rPr>
            </w:pPr>
            <w:r>
              <w:rPr>
                <w:rFonts w:hint="eastAsia" w:ascii="仿宋" w:hAnsi="仿宋" w:eastAsia="仿宋" w:cs="仿宋"/>
                <w:b/>
                <w:bCs/>
                <w:snapToGrid w:val="0"/>
                <w:kern w:val="0"/>
                <w:sz w:val="24"/>
                <w:szCs w:val="24"/>
              </w:rPr>
              <w:t>（2分）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1.专业建设规划论证充分，目标明确，切实可行；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2.有分阶段实施方案和年度工作计划。</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适应福建省产业转型、技术升级，对接社会民生和“四新”人才需求，科学合理制定专业发展规划（规划期三年或五年），建立健全需求导向、对接产业、动态调整、自我完善的专业建设发展机制，提高人才培养与产业发展的契合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snapToGrid w:val="0"/>
                <w:kern w:val="0"/>
                <w:sz w:val="24"/>
                <w:szCs w:val="24"/>
              </w:rPr>
              <w:t>2.围绕产业链和职业岗位群构建专业群，着眼产业发展、职业岗位变化，提高专业集聚度，准确定位专业培养规格，与行业企业深度合作，打造技术技能人才培养高地和技术技能创新服务平台。</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1119" w:type="dxa"/>
            <w:vMerge w:val="continue"/>
            <w:vAlign w:val="center"/>
          </w:tcPr>
          <w:p>
            <w:pPr>
              <w:jc w:val="left"/>
              <w:rPr>
                <w:rFonts w:hint="eastAsia" w:ascii="仿宋" w:hAnsi="仿宋" w:eastAsia="仿宋" w:cs="仿宋"/>
                <w:snapToGrid w:val="0"/>
                <w:kern w:val="0"/>
                <w:sz w:val="24"/>
                <w:szCs w:val="24"/>
              </w:rPr>
            </w:pPr>
          </w:p>
        </w:tc>
        <w:tc>
          <w:tcPr>
            <w:tcW w:w="1418" w:type="dxa"/>
            <w:vAlign w:val="center"/>
          </w:tcPr>
          <w:p>
            <w:pPr>
              <w:keepNext w:val="0"/>
              <w:keepLines w:val="0"/>
              <w:pageBreakBefore w:val="0"/>
              <w:kinsoku/>
              <w:wordWrap/>
              <w:overflowPunct/>
              <w:topLinePunct w:val="0"/>
              <w:autoSpaceDE/>
              <w:autoSpaceDN/>
              <w:bidi w:val="0"/>
              <w:adjustRightInd/>
              <w:spacing w:line="360" w:lineRule="exact"/>
              <w:jc w:val="left"/>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1.3专业建设管理（2分）</w:t>
            </w:r>
          </w:p>
        </w:tc>
        <w:tc>
          <w:tcPr>
            <w:tcW w:w="4536" w:type="dxa"/>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1.系部重视专业建设，制定了专业建设工作方案，可实施性强，执行效果好；</w:t>
            </w:r>
          </w:p>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2.成立了行业企业专家参与的专业建设指导委员会并开展活动，指导作用显著；</w:t>
            </w:r>
          </w:p>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3.成立了行业企业专家参与的专业建设小组并积极开展工作，参与人才培养方案的制订，参与专业建设的全过程；</w:t>
            </w:r>
          </w:p>
          <w:p>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4. 落实“三全育人”构建全员、全过程、全方位育人的思想政治工作格局。</w:t>
            </w:r>
          </w:p>
        </w:tc>
        <w:tc>
          <w:tcPr>
            <w:tcW w:w="7229" w:type="dxa"/>
          </w:tcPr>
          <w:p>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建立和完善专业教学诊断与改进机制，促进专业与产业、教学过程与生产过程、课程内容与职业技能等级证书标准的有效对接，提高专业人才培养目标与企业岗位需求的吻合度，提升行业企业等利益相关方对人才培养质量的满意度；</w:t>
            </w:r>
          </w:p>
          <w:p>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贯彻国家职业教育专业目录、专业教学标准和专业实训教学条件建设标准，引进借鉴先进成熟适用的国际（境外）专业教学标准，开发校本特色专业教学标准，推进专业升级和数字化改造，探索专业认证，提升专业建设质量；</w:t>
            </w:r>
          </w:p>
          <w:p>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3.统筹系部育人资源和育人力量，构建全员、全过程、全方位育人的思想政治工作格局，打造“三全育人”典型和德育特色案例；</w:t>
            </w:r>
          </w:p>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4. 适应产业数字化转型升级和技术变革发展趋势，以“信息技术+”促进专业升级和数字化改造，推进专业内涵提升。</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8" w:hRule="atLeast"/>
          <w:jc w:val="center"/>
        </w:trPr>
        <w:tc>
          <w:tcPr>
            <w:tcW w:w="1119" w:type="dxa"/>
            <w:vMerge w:val="restart"/>
            <w:vAlign w:val="center"/>
          </w:tcPr>
          <w:p>
            <w:pPr>
              <w:spacing w:line="320" w:lineRule="exact"/>
              <w:jc w:val="center"/>
              <w:rPr>
                <w:rFonts w:hint="eastAsia" w:ascii="仿宋" w:hAnsi="仿宋" w:eastAsia="仿宋" w:cs="仿宋"/>
                <w:kern w:val="0"/>
                <w:sz w:val="24"/>
              </w:rPr>
            </w:pPr>
            <w:r>
              <w:rPr>
                <w:rFonts w:hint="eastAsia" w:ascii="仿宋" w:hAnsi="仿宋" w:eastAsia="仿宋" w:cs="仿宋"/>
                <w:b/>
                <w:sz w:val="24"/>
              </w:rPr>
              <w:t>2.人才培养方案（8分）</w:t>
            </w:r>
          </w:p>
        </w:tc>
        <w:tc>
          <w:tcPr>
            <w:tcW w:w="1418" w:type="dxa"/>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ascii="仿宋" w:hAnsi="仿宋" w:eastAsia="仿宋" w:cs="仿宋"/>
                <w:b/>
                <w:bCs/>
                <w:kern w:val="0"/>
                <w:sz w:val="24"/>
              </w:rPr>
            </w:pPr>
            <w:r>
              <w:rPr>
                <w:rFonts w:hint="eastAsia" w:ascii="仿宋" w:hAnsi="仿宋" w:eastAsia="仿宋" w:cs="仿宋"/>
                <w:b/>
                <w:bCs/>
                <w:kern w:val="0"/>
                <w:sz w:val="24"/>
              </w:rPr>
              <w:t>2.1培养目标</w:t>
            </w:r>
          </w:p>
          <w:p>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ascii="仿宋" w:hAnsi="仿宋" w:eastAsia="仿宋" w:cs="仿宋"/>
                <w:kern w:val="0"/>
                <w:sz w:val="24"/>
              </w:rPr>
            </w:pPr>
            <w:r>
              <w:rPr>
                <w:rFonts w:hint="eastAsia" w:ascii="仿宋" w:hAnsi="仿宋" w:eastAsia="仿宋" w:cs="仿宋"/>
                <w:b/>
                <w:bCs/>
                <w:snapToGrid w:val="0"/>
                <w:kern w:val="0"/>
                <w:sz w:val="24"/>
              </w:rPr>
              <w:t>（2分）</w:t>
            </w:r>
          </w:p>
        </w:tc>
        <w:tc>
          <w:tcPr>
            <w:tcW w:w="4536" w:type="dxa"/>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1.职业岗位（群）明确，有起点岗位和发展岗位分析，培养目标与高职教育层次相适应且符合专业定位；</w:t>
            </w:r>
          </w:p>
          <w:p>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2.以岗位职业能力为标准、可持续发展需求为导向，有明确的知识、能力、素质与价值塑造培养目标。</w:t>
            </w:r>
          </w:p>
          <w:p>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3.培养目标与培养规格遵循和贯彻党的教育方针，落实党和国家对人才培养的总体要求，注重立德树人，将课程思政理念融入专业人才培养方案中</w:t>
            </w:r>
          </w:p>
        </w:tc>
        <w:tc>
          <w:tcPr>
            <w:tcW w:w="7229" w:type="dxa"/>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对接国家专业教学标准，结合区域经济社会发展需求、办学特色和专业实际，开发具有校本特色的专业教学标准，有效落实培养德、智、体、美、劳全面发展的高素质技术技能人才目标，瞄准“高精尖缺”技术技能人才培养，实现高定位的培养目标；</w:t>
            </w:r>
          </w:p>
          <w:p>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2.培养目标适应学校服务行业的实际需求，能够满足技术技能人才培养需求，对区域支柱产业和社会发展急需人才的培养贡献度大，能服务区域经济转型、产业升级需求；</w:t>
            </w:r>
          </w:p>
          <w:p>
            <w:pPr>
              <w:keepNext w:val="0"/>
              <w:keepLines w:val="0"/>
              <w:pageBreakBefore w:val="0"/>
              <w:kinsoku/>
              <w:wordWrap/>
              <w:overflowPunct/>
              <w:topLinePunct w:val="0"/>
              <w:autoSpaceDE/>
              <w:autoSpaceDN/>
              <w:bidi w:val="0"/>
              <w:adjustRightIn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3.</w:t>
            </w:r>
            <w:r>
              <w:rPr>
                <w:rFonts w:hint="eastAsia" w:ascii="仿宋" w:hAnsi="仿宋" w:eastAsia="仿宋" w:cs="仿宋"/>
                <w:snapToGrid w:val="0"/>
                <w:w w:val="98"/>
                <w:kern w:val="0"/>
                <w:sz w:val="24"/>
              </w:rPr>
              <w:t>以岗位职业能力为标准，注重立德树人，将课程思政理念融入专业人才培养方案中，有明确的知识、能力、素质与价值塑造培养目标。</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0" w:hRule="atLeast"/>
          <w:jc w:val="center"/>
        </w:trPr>
        <w:tc>
          <w:tcPr>
            <w:tcW w:w="1119" w:type="dxa"/>
            <w:vMerge w:val="continue"/>
            <w:vAlign w:val="center"/>
          </w:tcPr>
          <w:p>
            <w:pPr>
              <w:jc w:val="left"/>
              <w:rPr>
                <w:rFonts w:hint="eastAsia" w:ascii="仿宋" w:hAnsi="仿宋" w:eastAsia="仿宋" w:cs="仿宋"/>
                <w:kern w:val="0"/>
                <w:sz w:val="24"/>
              </w:rPr>
            </w:pPr>
          </w:p>
        </w:tc>
        <w:tc>
          <w:tcPr>
            <w:tcW w:w="1418" w:type="dxa"/>
            <w:vAlign w:val="center"/>
          </w:tcPr>
          <w:p>
            <w:pPr>
              <w:widowControl/>
              <w:spacing w:line="240" w:lineRule="atLeast"/>
              <w:jc w:val="both"/>
              <w:rPr>
                <w:rFonts w:hint="eastAsia" w:ascii="仿宋" w:hAnsi="仿宋" w:eastAsia="仿宋" w:cs="仿宋"/>
                <w:b/>
                <w:bCs/>
                <w:kern w:val="0"/>
                <w:sz w:val="24"/>
              </w:rPr>
            </w:pPr>
            <w:r>
              <w:rPr>
                <w:rFonts w:hint="eastAsia" w:ascii="仿宋" w:hAnsi="仿宋" w:eastAsia="仿宋" w:cs="仿宋"/>
                <w:b/>
                <w:bCs/>
                <w:kern w:val="0"/>
                <w:sz w:val="24"/>
              </w:rPr>
              <w:t>2.2人才培养模式（3分）</w:t>
            </w:r>
          </w:p>
        </w:tc>
        <w:tc>
          <w:tcPr>
            <w:tcW w:w="4536" w:type="dxa"/>
            <w:vAlign w:val="center"/>
          </w:tcPr>
          <w:p>
            <w:pPr>
              <w:snapToGrid w:val="0"/>
              <w:spacing w:line="280" w:lineRule="exact"/>
              <w:jc w:val="both"/>
              <w:rPr>
                <w:rFonts w:hint="eastAsia" w:ascii="仿宋" w:hAnsi="仿宋" w:eastAsia="仿宋" w:cs="仿宋"/>
                <w:snapToGrid w:val="0"/>
                <w:kern w:val="0"/>
                <w:sz w:val="24"/>
              </w:rPr>
            </w:pPr>
            <w:r>
              <w:rPr>
                <w:rFonts w:hint="eastAsia" w:ascii="仿宋" w:hAnsi="仿宋" w:eastAsia="仿宋" w:cs="仿宋"/>
                <w:snapToGrid w:val="0"/>
                <w:kern w:val="0"/>
                <w:sz w:val="24"/>
              </w:rPr>
              <w:t>1.提炼并诠释专业人才培养模式，人才培养模式突出工学结合，具有实践性、开放性和职业性，并形成特色；</w:t>
            </w:r>
          </w:p>
          <w:p>
            <w:pPr>
              <w:spacing w:line="320" w:lineRule="exact"/>
              <w:jc w:val="both"/>
              <w:rPr>
                <w:rFonts w:hint="eastAsia" w:ascii="仿宋" w:hAnsi="仿宋" w:eastAsia="仿宋" w:cs="仿宋"/>
                <w:snapToGrid w:val="0"/>
                <w:kern w:val="0"/>
                <w:sz w:val="24"/>
              </w:rPr>
            </w:pPr>
            <w:r>
              <w:rPr>
                <w:rFonts w:hint="eastAsia" w:ascii="仿宋" w:hAnsi="仿宋" w:eastAsia="仿宋" w:cs="仿宋"/>
                <w:snapToGrid w:val="0"/>
                <w:kern w:val="0"/>
                <w:sz w:val="24"/>
              </w:rPr>
              <w:t>2.人才培养模式符合培养目标要求，积极开展人才培养模式改革，探索实践校企（院）深度融合，形成有推广价值的经验。</w:t>
            </w:r>
          </w:p>
        </w:tc>
        <w:tc>
          <w:tcPr>
            <w:tcW w:w="7229" w:type="dxa"/>
            <w:vAlign w:val="center"/>
          </w:tcPr>
          <w:p>
            <w:pPr>
              <w:spacing w:line="240" w:lineRule="atLeast"/>
              <w:rPr>
                <w:rFonts w:hint="eastAsia" w:ascii="仿宋" w:hAnsi="仿宋" w:eastAsia="仿宋" w:cs="仿宋"/>
                <w:snapToGrid w:val="0"/>
                <w:kern w:val="0"/>
                <w:sz w:val="24"/>
              </w:rPr>
            </w:pPr>
            <w:r>
              <w:rPr>
                <w:rFonts w:hint="eastAsia" w:ascii="仿宋" w:hAnsi="仿宋" w:eastAsia="仿宋" w:cs="仿宋"/>
                <w:snapToGrid w:val="0"/>
                <w:kern w:val="0"/>
                <w:sz w:val="24"/>
              </w:rPr>
              <w:t>1.对照《职业教育专业目录》和相应专业教学标准，规范专业人才培养方案研制程序，建立人才培养方案的调研、论证、公开制度，提升人才培养方案科学性、适应性和可操作性；</w:t>
            </w:r>
          </w:p>
          <w:p>
            <w:pPr>
              <w:spacing w:line="240" w:lineRule="atLeast"/>
              <w:rPr>
                <w:rFonts w:hint="eastAsia" w:ascii="仿宋" w:hAnsi="仿宋" w:eastAsia="仿宋" w:cs="仿宋"/>
                <w:snapToGrid w:val="0"/>
                <w:kern w:val="0"/>
                <w:sz w:val="24"/>
              </w:rPr>
            </w:pPr>
            <w:r>
              <w:rPr>
                <w:rFonts w:hint="eastAsia" w:ascii="仿宋" w:hAnsi="仿宋" w:eastAsia="仿宋" w:cs="仿宋"/>
                <w:snapToGrid w:val="0"/>
                <w:kern w:val="0"/>
                <w:sz w:val="24"/>
              </w:rPr>
              <w:t>2. 深化“三教”改革，实施工学结合的人才培养模式改革，凝炼并实施的人才培养模式，具有工学结合、实践性、开放性和职业性特色；</w:t>
            </w:r>
          </w:p>
          <w:p>
            <w:pPr>
              <w:spacing w:line="240" w:lineRule="atLeast"/>
              <w:rPr>
                <w:rFonts w:hint="eastAsia" w:ascii="仿宋" w:hAnsi="仿宋" w:eastAsia="仿宋" w:cs="仿宋"/>
                <w:snapToGrid w:val="0"/>
                <w:kern w:val="0"/>
                <w:sz w:val="24"/>
              </w:rPr>
            </w:pPr>
            <w:r>
              <w:rPr>
                <w:rFonts w:hint="eastAsia" w:ascii="仿宋" w:hAnsi="仿宋" w:eastAsia="仿宋" w:cs="仿宋"/>
                <w:snapToGrid w:val="0"/>
                <w:kern w:val="0"/>
                <w:sz w:val="24"/>
              </w:rPr>
              <w:t>3.实行1+X(学历证书+职业技能等级证书) 双证书制度。</w:t>
            </w:r>
          </w:p>
          <w:p>
            <w:pPr>
              <w:spacing w:line="240" w:lineRule="atLeast"/>
              <w:rPr>
                <w:rFonts w:hint="eastAsia" w:ascii="仿宋" w:hAnsi="仿宋" w:eastAsia="仿宋" w:cs="仿宋"/>
                <w:snapToGrid w:val="0"/>
                <w:kern w:val="0"/>
                <w:sz w:val="24"/>
              </w:rPr>
            </w:pPr>
            <w:r>
              <w:rPr>
                <w:rFonts w:hint="eastAsia" w:ascii="仿宋" w:hAnsi="仿宋" w:eastAsia="仿宋" w:cs="仿宋"/>
                <w:snapToGrid w:val="0"/>
                <w:kern w:val="0"/>
                <w:sz w:val="24"/>
              </w:rPr>
              <w:t>4.统筹推进实践育人、活动育人和文化育人，统筹勤工俭学、实习实训、社会实践、志愿服务等环节开展劳动教育，开展“文明风采”“劳模进职校”等活动，弘扬精益求精的工匠精神</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6" w:hRule="atLeast"/>
          <w:jc w:val="center"/>
        </w:trPr>
        <w:tc>
          <w:tcPr>
            <w:tcW w:w="1119" w:type="dxa"/>
            <w:vMerge w:val="continue"/>
            <w:tcBorders>
              <w:bottom w:val="single" w:color="auto" w:sz="4" w:space="0"/>
            </w:tcBorders>
            <w:vAlign w:val="center"/>
          </w:tcPr>
          <w:p>
            <w:pPr>
              <w:jc w:val="left"/>
              <w:rPr>
                <w:rFonts w:ascii="仿宋_GB2312" w:hAnsi="宋体" w:eastAsia="仿宋_GB2312" w:cs="宋体"/>
                <w:kern w:val="0"/>
                <w:sz w:val="24"/>
              </w:rPr>
            </w:pPr>
          </w:p>
        </w:tc>
        <w:tc>
          <w:tcPr>
            <w:tcW w:w="1418"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b/>
                <w:bCs/>
                <w:kern w:val="0"/>
                <w:sz w:val="24"/>
              </w:rPr>
            </w:pPr>
            <w:r>
              <w:rPr>
                <w:rFonts w:hint="eastAsia" w:ascii="仿宋" w:hAnsi="仿宋" w:eastAsia="仿宋" w:cs="仿宋"/>
                <w:b/>
                <w:bCs/>
                <w:kern w:val="0"/>
                <w:sz w:val="24"/>
              </w:rPr>
              <w:t>2.3 课程体系（</w:t>
            </w:r>
            <w:r>
              <w:rPr>
                <w:rFonts w:hint="eastAsia" w:ascii="仿宋" w:hAnsi="仿宋" w:eastAsia="仿宋" w:cs="仿宋"/>
                <w:b/>
                <w:bCs/>
                <w:snapToGrid w:val="0"/>
                <w:kern w:val="0"/>
                <w:sz w:val="24"/>
              </w:rPr>
              <w:t>3</w:t>
            </w:r>
            <w:r>
              <w:rPr>
                <w:rFonts w:hint="eastAsia" w:ascii="仿宋" w:hAnsi="仿宋" w:eastAsia="仿宋" w:cs="仿宋"/>
                <w:b/>
                <w:bCs/>
                <w:kern w:val="0"/>
                <w:sz w:val="24"/>
              </w:rPr>
              <w:t>分）</w:t>
            </w:r>
          </w:p>
        </w:tc>
        <w:tc>
          <w:tcPr>
            <w:tcW w:w="4536" w:type="dxa"/>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1.课程设置与培养目标吻合，课程之间体现逻辑关系，遵循学生循序渐进的学习规律和职业能力形成规律；</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2.专业核心课程设置与岗位胜任力对应，融入职业资格标准的要求；</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3.有科学的实践教学体系设计，实践教学占教学总活动的比例≥50%</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4.按照教育部印发的教学大纲（课程标准），开齐、开足、开好公共基础课，按规定开齐、开足、开好思政课并规范选用教材。</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5.体现学生人文素质教育、美育教育、劳动教育、创新创业教育要求，重视学生综合素质培养。</w:t>
            </w:r>
          </w:p>
        </w:tc>
        <w:tc>
          <w:tcPr>
            <w:tcW w:w="7229" w:type="dxa"/>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1.根据教育部专业教学标准规定、专业人才培养方案，科学设置、优化专业课程体系，探索专业群课程体系中的模块化课程，为学生提供更多的课程选择；</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 xml:space="preserve">2.按照“底部共享、中部分立、上部互选、顶部提升拓展”原则，构建专业课程体系； </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3.将职业资格证书、1+X证书等双证书培训与专业建设紧密结合，将证书培训内容有机融入专业人才培养方案，优化课程设置和教学内容，改进教学过程管理方式，学历证书教育和职业资格证书（1+X证书）培训有机衔接，推进“岗课赛证”综合育人，提升人才培养质量和学生就业创业能力；</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4.课程体系体现学生人文素质教育、美育教育、劳动教育、创新创业教育要求，重视学生综合素质培养，有效支撑岗位群所需的职业素养、专业知识和职业技能的培养，提升人才培养质量和学生就业创业能力。</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19" w:type="dxa"/>
            <w:vMerge w:val="restart"/>
            <w:tcBorders>
              <w:top w:val="single" w:color="auto" w:sz="4" w:space="0"/>
              <w:left w:val="single" w:color="auto" w:sz="4" w:space="0"/>
              <w:right w:val="single" w:color="auto" w:sz="4" w:space="0"/>
            </w:tcBorders>
            <w:vAlign w:val="center"/>
          </w:tcPr>
          <w:p>
            <w:pPr>
              <w:spacing w:line="320" w:lineRule="exact"/>
              <w:jc w:val="center"/>
              <w:rPr>
                <w:rFonts w:ascii="宋体"/>
                <w:b/>
                <w:sz w:val="24"/>
              </w:rPr>
            </w:pPr>
            <w:r>
              <w:rPr>
                <w:rFonts w:ascii="宋体"/>
                <w:b/>
                <w:sz w:val="24"/>
              </w:rPr>
              <w:t>3</w:t>
            </w:r>
            <w:r>
              <w:rPr>
                <w:rFonts w:hint="eastAsia" w:ascii="宋体"/>
                <w:b/>
                <w:sz w:val="24"/>
              </w:rPr>
              <w:t>.课程建设</w:t>
            </w:r>
          </w:p>
          <w:p>
            <w:pPr>
              <w:spacing w:line="320" w:lineRule="exact"/>
              <w:jc w:val="center"/>
              <w:rPr>
                <w:rFonts w:ascii="仿宋_GB2312" w:hAnsi="宋体" w:eastAsia="仿宋_GB2312"/>
                <w:snapToGrid w:val="0"/>
                <w:kern w:val="0"/>
                <w:sz w:val="24"/>
              </w:rPr>
            </w:pPr>
            <w:r>
              <w:rPr>
                <w:rFonts w:hint="eastAsia" w:ascii="宋体"/>
                <w:b/>
                <w:sz w:val="24"/>
              </w:rPr>
              <w:t>（1</w:t>
            </w:r>
            <w:r>
              <w:rPr>
                <w:rFonts w:ascii="宋体"/>
                <w:b/>
                <w:sz w:val="24"/>
              </w:rPr>
              <w:t>2</w:t>
            </w:r>
            <w:r>
              <w:rPr>
                <w:rFonts w:hint="eastAsia" w:ascii="宋体"/>
                <w:b/>
                <w:sz w:val="24"/>
              </w:rPr>
              <w:t>分）</w:t>
            </w:r>
          </w:p>
        </w:tc>
        <w:tc>
          <w:tcPr>
            <w:tcW w:w="1418"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仿宋_GB2312" w:hAnsi="宋体" w:eastAsia="仿宋_GB2312" w:cs="宋体"/>
                <w:b/>
                <w:kern w:val="0"/>
                <w:sz w:val="24"/>
                <w:szCs w:val="24"/>
              </w:rPr>
            </w:pPr>
            <w:r>
              <w:rPr>
                <w:rFonts w:ascii="仿宋_GB2312" w:hAnsi="宋体" w:eastAsia="仿宋_GB2312" w:cs="宋体"/>
                <w:b/>
                <w:bCs/>
                <w:kern w:val="0"/>
                <w:sz w:val="24"/>
                <w:szCs w:val="24"/>
              </w:rPr>
              <w:t>3.1</w:t>
            </w:r>
            <w:r>
              <w:rPr>
                <w:rFonts w:hint="eastAsia" w:ascii="仿宋_GB2312" w:hAnsi="宋体" w:eastAsia="仿宋_GB2312" w:cs="宋体"/>
                <w:b/>
                <w:bCs/>
                <w:kern w:val="0"/>
                <w:sz w:val="24"/>
                <w:szCs w:val="24"/>
              </w:rPr>
              <w:t>课程标准</w:t>
            </w:r>
            <w:r>
              <w:rPr>
                <w:rFonts w:hint="eastAsia" w:ascii="仿宋_GB2312" w:hAnsi="宋体" w:eastAsia="仿宋_GB2312"/>
                <w:b/>
                <w:bCs/>
                <w:snapToGrid w:val="0"/>
                <w:kern w:val="0"/>
                <w:sz w:val="24"/>
                <w:szCs w:val="24"/>
              </w:rPr>
              <w:t>（</w:t>
            </w:r>
            <w:r>
              <w:rPr>
                <w:rFonts w:ascii="仿宋_GB2312" w:hAnsi="宋体" w:eastAsia="仿宋_GB2312"/>
                <w:b/>
                <w:bCs/>
                <w:snapToGrid w:val="0"/>
                <w:kern w:val="0"/>
                <w:sz w:val="24"/>
                <w:szCs w:val="24"/>
              </w:rPr>
              <w:t>3</w:t>
            </w:r>
            <w:r>
              <w:rPr>
                <w:rFonts w:hint="eastAsia" w:ascii="仿宋_GB2312" w:hAnsi="宋体" w:eastAsia="仿宋_GB2312"/>
                <w:b/>
                <w:bCs/>
                <w:snapToGrid w:val="0"/>
                <w:kern w:val="0"/>
                <w:sz w:val="24"/>
                <w:szCs w:val="24"/>
              </w:rPr>
              <w:t>分）</w:t>
            </w:r>
          </w:p>
        </w:tc>
        <w:tc>
          <w:tcPr>
            <w:tcW w:w="4536" w:type="dxa"/>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1.</w:t>
            </w:r>
            <w:r>
              <w:rPr>
                <w:rFonts w:hint="eastAsia" w:ascii="仿宋_GB2312" w:hAnsi="宋体" w:eastAsia="仿宋_GB2312"/>
                <w:snapToGrid w:val="0"/>
                <w:kern w:val="0"/>
                <w:sz w:val="24"/>
                <w:szCs w:val="24"/>
              </w:rPr>
              <w:t>有课程标准，符合规范要求；定期修订和完善，与职业岗位标准对接；</w:t>
            </w:r>
          </w:p>
          <w:p>
            <w:pPr>
              <w:keepNext w:val="0"/>
              <w:keepLines w:val="0"/>
              <w:pageBreakBefore w:val="0"/>
              <w:kinsoku/>
              <w:wordWrap/>
              <w:overflowPunct/>
              <w:topLinePunct w:val="0"/>
              <w:autoSpaceDE/>
              <w:autoSpaceDN/>
              <w:bidi w:val="0"/>
              <w:adjustRightInd/>
              <w:snapToGrid/>
              <w:spacing w:line="36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2.</w:t>
            </w:r>
            <w:r>
              <w:rPr>
                <w:rFonts w:hint="eastAsia" w:ascii="仿宋_GB2312" w:hAnsi="宋体" w:eastAsia="仿宋_GB2312"/>
                <w:snapToGrid w:val="0"/>
                <w:kern w:val="0"/>
                <w:sz w:val="24"/>
                <w:szCs w:val="24"/>
              </w:rPr>
              <w:t>课程目标、课程内容、教学设计及评价等体现现代职业教育理念。</w:t>
            </w:r>
          </w:p>
        </w:tc>
        <w:tc>
          <w:tcPr>
            <w:tcW w:w="7229" w:type="dxa"/>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1.</w:t>
            </w:r>
            <w:r>
              <w:rPr>
                <w:rFonts w:hint="eastAsia" w:ascii="仿宋_GB2312" w:hAnsi="宋体" w:eastAsia="仿宋_GB2312"/>
                <w:snapToGrid w:val="0"/>
                <w:kern w:val="0"/>
                <w:sz w:val="24"/>
                <w:szCs w:val="24"/>
              </w:rPr>
              <w:t>课程标准落实立德树人根本任务，将社会主义核心价值观教育贯穿专业人才培养全过程，价值塑造、知识传授、能力培养三者融为一体，实现岗位职业能力和职业精神培养高度融合；</w:t>
            </w:r>
          </w:p>
          <w:p>
            <w:pPr>
              <w:keepNext w:val="0"/>
              <w:keepLines w:val="0"/>
              <w:pageBreakBefore w:val="0"/>
              <w:kinsoku/>
              <w:wordWrap/>
              <w:overflowPunct/>
              <w:topLinePunct w:val="0"/>
              <w:autoSpaceDE/>
              <w:autoSpaceDN/>
              <w:bidi w:val="0"/>
              <w:adjustRightInd/>
              <w:snapToGrid/>
              <w:spacing w:line="36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2.</w:t>
            </w:r>
            <w:r>
              <w:rPr>
                <w:rFonts w:hint="eastAsia" w:ascii="仿宋_GB2312" w:hAnsi="宋体" w:eastAsia="仿宋_GB2312"/>
                <w:snapToGrid w:val="0"/>
                <w:kern w:val="0"/>
                <w:sz w:val="24"/>
                <w:szCs w:val="24"/>
              </w:rPr>
              <w:t>加强课程思政建设，深入挖掘专业课程的思政元素，有机融入课程教学，打造一批课程思政示范课堂和彰显职业教育类型特点的思政教育案例。</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87" w:hRule="atLeast"/>
          <w:jc w:val="center"/>
        </w:trPr>
        <w:tc>
          <w:tcPr>
            <w:tcW w:w="1119" w:type="dxa"/>
            <w:vMerge w:val="continue"/>
            <w:tcBorders>
              <w:left w:val="single" w:color="auto" w:sz="4" w:space="0"/>
              <w:right w:val="single" w:color="auto" w:sz="4" w:space="0"/>
            </w:tcBorders>
            <w:vAlign w:val="center"/>
          </w:tcPr>
          <w:p>
            <w:pPr>
              <w:jc w:val="left"/>
              <w:rPr>
                <w:rFonts w:ascii="仿宋_GB2312" w:hAnsi="宋体" w:eastAsia="仿宋_GB2312"/>
                <w:snapToGrid w:val="0"/>
                <w:kern w:val="0"/>
                <w:sz w:val="24"/>
              </w:rPr>
            </w:pPr>
          </w:p>
        </w:tc>
        <w:tc>
          <w:tcPr>
            <w:tcW w:w="1418"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仿宋_GB2312" w:hAnsi="宋体" w:eastAsia="仿宋_GB2312" w:cs="宋体"/>
                <w:b/>
                <w:bCs/>
                <w:kern w:val="0"/>
                <w:sz w:val="24"/>
                <w:szCs w:val="24"/>
              </w:rPr>
            </w:pP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仿宋_GB2312" w:hAnsi="宋体" w:eastAsia="仿宋_GB2312" w:cs="宋体"/>
                <w:b/>
                <w:bCs/>
                <w:kern w:val="0"/>
                <w:sz w:val="24"/>
                <w:szCs w:val="24"/>
              </w:rPr>
            </w:pP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仿宋_GB2312" w:hAnsi="宋体" w:eastAsia="仿宋_GB2312"/>
                <w:snapToGrid w:val="0"/>
                <w:kern w:val="0"/>
                <w:sz w:val="24"/>
                <w:szCs w:val="24"/>
              </w:rPr>
            </w:pPr>
            <w:r>
              <w:rPr>
                <w:rFonts w:ascii="仿宋_GB2312" w:hAnsi="宋体" w:eastAsia="仿宋_GB2312" w:cs="宋体"/>
                <w:b/>
                <w:bCs/>
                <w:kern w:val="0"/>
                <w:sz w:val="24"/>
                <w:szCs w:val="24"/>
              </w:rPr>
              <w:t>3.2</w:t>
            </w:r>
            <w:r>
              <w:rPr>
                <w:rFonts w:hint="eastAsia" w:ascii="仿宋_GB2312" w:hAnsi="宋体" w:eastAsia="仿宋_GB2312" w:cs="宋体"/>
                <w:b/>
                <w:bCs/>
                <w:kern w:val="0"/>
                <w:sz w:val="24"/>
                <w:szCs w:val="24"/>
              </w:rPr>
              <w:t>课程</w:t>
            </w:r>
            <w:r>
              <w:rPr>
                <w:rFonts w:hint="eastAsia" w:ascii="仿宋_GB2312" w:hAnsi="宋体" w:eastAsia="仿宋_GB2312"/>
                <w:b/>
                <w:bCs/>
                <w:snapToGrid w:val="0"/>
                <w:kern w:val="0"/>
                <w:sz w:val="24"/>
                <w:szCs w:val="24"/>
              </w:rPr>
              <w:t>实施（</w:t>
            </w:r>
            <w:r>
              <w:rPr>
                <w:rFonts w:ascii="仿宋_GB2312" w:hAnsi="宋体" w:eastAsia="仿宋_GB2312"/>
                <w:b/>
                <w:bCs/>
                <w:snapToGrid w:val="0"/>
                <w:kern w:val="0"/>
                <w:sz w:val="24"/>
                <w:szCs w:val="24"/>
              </w:rPr>
              <w:t>6</w:t>
            </w:r>
            <w:r>
              <w:rPr>
                <w:rFonts w:hint="eastAsia" w:ascii="仿宋_GB2312" w:hAnsi="宋体" w:eastAsia="仿宋_GB2312"/>
                <w:b/>
                <w:bCs/>
                <w:snapToGrid w:val="0"/>
                <w:kern w:val="0"/>
                <w:sz w:val="24"/>
                <w:szCs w:val="24"/>
              </w:rPr>
              <w:t>分）</w:t>
            </w:r>
          </w:p>
        </w:tc>
        <w:tc>
          <w:tcPr>
            <w:tcW w:w="4536" w:type="dxa"/>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1.</w:t>
            </w:r>
            <w:r>
              <w:rPr>
                <w:rFonts w:hint="eastAsia" w:ascii="仿宋_GB2312" w:hAnsi="宋体" w:eastAsia="仿宋_GB2312"/>
                <w:snapToGrid w:val="0"/>
                <w:kern w:val="0"/>
                <w:sz w:val="24"/>
                <w:szCs w:val="24"/>
              </w:rPr>
              <w:t>按照课程标准组织实施课程教学；</w:t>
            </w:r>
          </w:p>
          <w:p>
            <w:pPr>
              <w:keepNext w:val="0"/>
              <w:keepLines w:val="0"/>
              <w:pageBreakBefore w:val="0"/>
              <w:kinsoku/>
              <w:wordWrap/>
              <w:overflowPunct/>
              <w:topLinePunct w:val="0"/>
              <w:autoSpaceDE/>
              <w:autoSpaceDN/>
              <w:bidi w:val="0"/>
              <w:adjustRightInd/>
              <w:snapToGrid/>
              <w:spacing w:line="36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2.</w:t>
            </w:r>
            <w:r>
              <w:rPr>
                <w:rFonts w:hint="eastAsia" w:ascii="仿宋_GB2312" w:hAnsi="宋体" w:eastAsia="仿宋_GB2312"/>
                <w:snapToGrid w:val="0"/>
                <w:kern w:val="0"/>
                <w:sz w:val="24"/>
                <w:szCs w:val="24"/>
              </w:rPr>
              <w:t>积极推进教学模式、教学手段、教学方法的改革，采用案例教学、项目教学、探究式教学等教学方法，体现“工学结合、理实一体”的理念；</w:t>
            </w:r>
          </w:p>
          <w:p>
            <w:pPr>
              <w:keepNext w:val="0"/>
              <w:keepLines w:val="0"/>
              <w:pageBreakBefore w:val="0"/>
              <w:kinsoku/>
              <w:wordWrap/>
              <w:overflowPunct/>
              <w:topLinePunct w:val="0"/>
              <w:autoSpaceDE/>
              <w:autoSpaceDN/>
              <w:bidi w:val="0"/>
              <w:adjustRightInd/>
              <w:snapToGrid/>
              <w:spacing w:line="36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 xml:space="preserve">3. </w:t>
            </w:r>
            <w:r>
              <w:rPr>
                <w:rFonts w:hint="eastAsia" w:ascii="仿宋_GB2312" w:hAnsi="宋体" w:eastAsia="仿宋_GB2312"/>
                <w:snapToGrid w:val="0"/>
                <w:kern w:val="0"/>
                <w:sz w:val="24"/>
                <w:szCs w:val="24"/>
              </w:rPr>
              <w:t>推进以学习者为中心的课程教学评价改革，提高课程教学质量；</w:t>
            </w:r>
          </w:p>
          <w:p>
            <w:pPr>
              <w:keepNext w:val="0"/>
              <w:keepLines w:val="0"/>
              <w:pageBreakBefore w:val="0"/>
              <w:kinsoku/>
              <w:wordWrap/>
              <w:overflowPunct/>
              <w:topLinePunct w:val="0"/>
              <w:autoSpaceDE/>
              <w:autoSpaceDN/>
              <w:bidi w:val="0"/>
              <w:adjustRightInd/>
              <w:snapToGrid/>
              <w:spacing w:line="36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4.</w:t>
            </w:r>
            <w:r>
              <w:rPr>
                <w:rFonts w:hint="eastAsia" w:ascii="仿宋_GB2312" w:hAnsi="宋体" w:eastAsia="仿宋_GB2312"/>
                <w:snapToGrid w:val="0"/>
                <w:kern w:val="0"/>
                <w:sz w:val="24"/>
                <w:szCs w:val="24"/>
              </w:rPr>
              <w:t>充分利用现代信息技术等多种教学手段。</w:t>
            </w:r>
          </w:p>
        </w:tc>
        <w:tc>
          <w:tcPr>
            <w:tcW w:w="7229" w:type="dxa"/>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1.</w:t>
            </w:r>
            <w:r>
              <w:rPr>
                <w:rFonts w:hint="eastAsia" w:ascii="仿宋_GB2312" w:hAnsi="宋体" w:eastAsia="仿宋_GB2312"/>
                <w:snapToGrid w:val="0"/>
                <w:kern w:val="0"/>
                <w:sz w:val="24"/>
                <w:szCs w:val="24"/>
              </w:rPr>
              <w:t>坚持教、学、做合一，创新教学方法，实施项目教学、案例教学、情景教学、工作过程导向教学以及理实一体教学等新型教学模式，探索、推进远程协作、实时互动、翻转课堂、移动学习等信息化教学模式，推动职业教育“课堂革命”；</w:t>
            </w:r>
          </w:p>
          <w:p>
            <w:pPr>
              <w:keepNext w:val="0"/>
              <w:keepLines w:val="0"/>
              <w:pageBreakBefore w:val="0"/>
              <w:kinsoku/>
              <w:wordWrap/>
              <w:overflowPunct/>
              <w:topLinePunct w:val="0"/>
              <w:autoSpaceDE/>
              <w:autoSpaceDN/>
              <w:bidi w:val="0"/>
              <w:adjustRightInd/>
              <w:snapToGrid/>
              <w:spacing w:line="36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2.</w:t>
            </w:r>
            <w:r>
              <w:rPr>
                <w:rFonts w:hint="eastAsia" w:ascii="仿宋_GB2312" w:hAnsi="宋体" w:eastAsia="仿宋_GB2312"/>
                <w:snapToGrid w:val="0"/>
                <w:kern w:val="0"/>
                <w:sz w:val="24"/>
                <w:szCs w:val="24"/>
              </w:rPr>
              <w:t>适应专业教学改革需要，鼓励教师团队对接职业标准和工作过程，探索分工协作的模块化教学组织方式；</w:t>
            </w:r>
          </w:p>
          <w:p>
            <w:pPr>
              <w:keepNext w:val="0"/>
              <w:keepLines w:val="0"/>
              <w:pageBreakBefore w:val="0"/>
              <w:kinsoku/>
              <w:wordWrap/>
              <w:overflowPunct/>
              <w:topLinePunct w:val="0"/>
              <w:autoSpaceDE/>
              <w:autoSpaceDN/>
              <w:bidi w:val="0"/>
              <w:adjustRightInd/>
              <w:snapToGrid/>
              <w:spacing w:line="36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3.</w:t>
            </w:r>
            <w:r>
              <w:rPr>
                <w:rFonts w:hint="eastAsia" w:ascii="仿宋_GB2312" w:hAnsi="宋体" w:eastAsia="仿宋_GB2312"/>
                <w:snapToGrid w:val="0"/>
                <w:kern w:val="0"/>
                <w:sz w:val="24"/>
                <w:szCs w:val="24"/>
              </w:rPr>
              <w:t>建立健全以学习者为中心的课程教学评价体系，依据专业人才培养目标链，将培养目标、核心能力目标、课程目标、教学单元目标的达成度作为质量持续改进的主要依据，通过监测、评价、反馈等环节推动专业教学持续改进；</w:t>
            </w:r>
          </w:p>
          <w:p>
            <w:pPr>
              <w:keepNext w:val="0"/>
              <w:keepLines w:val="0"/>
              <w:pageBreakBefore w:val="0"/>
              <w:kinsoku/>
              <w:wordWrap/>
              <w:overflowPunct/>
              <w:topLinePunct w:val="0"/>
              <w:autoSpaceDE/>
              <w:autoSpaceDN/>
              <w:bidi w:val="0"/>
              <w:adjustRightInd/>
              <w:snapToGrid/>
              <w:spacing w:line="360" w:lineRule="exact"/>
              <w:textAlignment w:val="auto"/>
              <w:rPr>
                <w:rFonts w:ascii="仿宋_GB2312" w:hAnsi="宋体" w:eastAsia="仿宋_GB2312"/>
                <w:snapToGrid w:val="0"/>
                <w:kern w:val="0"/>
                <w:sz w:val="24"/>
                <w:szCs w:val="24"/>
              </w:rPr>
            </w:pPr>
            <w:r>
              <w:rPr>
                <w:rFonts w:hint="eastAsia" w:ascii="仿宋_GB2312" w:hAnsi="宋体" w:eastAsia="仿宋_GB2312"/>
                <w:snapToGrid w:val="0"/>
                <w:kern w:val="0"/>
                <w:sz w:val="24"/>
                <w:szCs w:val="24"/>
              </w:rPr>
              <w:t>4</w:t>
            </w:r>
            <w:r>
              <w:rPr>
                <w:rFonts w:ascii="仿宋_GB2312" w:hAnsi="宋体" w:eastAsia="仿宋_GB2312"/>
                <w:snapToGrid w:val="0"/>
                <w:kern w:val="0"/>
                <w:sz w:val="24"/>
                <w:szCs w:val="24"/>
              </w:rPr>
              <w:t>.</w:t>
            </w:r>
            <w:r>
              <w:rPr>
                <w:rFonts w:hint="eastAsia" w:ascii="仿宋_GB2312" w:hAnsi="宋体" w:eastAsia="仿宋_GB2312"/>
                <w:snapToGrid w:val="0"/>
                <w:kern w:val="0"/>
                <w:sz w:val="24"/>
                <w:szCs w:val="24"/>
              </w:rPr>
              <w:t>依托网络学习平台和线上教学资源，推行混合式教学模式，形成线上线下相结合的教与学新格局，促进网络条件下自主、泛在、个性化学习；</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cs="宋体"/>
                <w:sz w:val="24"/>
                <w:szCs w:val="24"/>
              </w:rPr>
            </w:pPr>
            <w:r>
              <w:rPr>
                <w:rFonts w:hint="eastAsia" w:ascii="仿宋_GB2312" w:hAnsi="宋体" w:eastAsia="仿宋_GB2312"/>
                <w:snapToGrid w:val="0"/>
                <w:kern w:val="0"/>
                <w:sz w:val="24"/>
                <w:szCs w:val="24"/>
              </w:rPr>
              <w:t>5</w:t>
            </w:r>
            <w:r>
              <w:rPr>
                <w:rFonts w:ascii="仿宋_GB2312" w:hAnsi="宋体" w:eastAsia="仿宋_GB2312"/>
                <w:snapToGrid w:val="0"/>
                <w:kern w:val="0"/>
                <w:sz w:val="24"/>
                <w:szCs w:val="24"/>
              </w:rPr>
              <w:t>.</w:t>
            </w:r>
            <w:r>
              <w:rPr>
                <w:rFonts w:hint="eastAsia" w:ascii="仿宋_GB2312" w:hAnsi="宋体" w:eastAsia="仿宋_GB2312"/>
                <w:snapToGrid w:val="0"/>
                <w:kern w:val="0"/>
                <w:sz w:val="24"/>
                <w:szCs w:val="24"/>
              </w:rPr>
              <w:t>充分利用信息化教学资源，推进信息技术与专业教学融合创新，以信息技术优化专业教学设计和教学过程、创新教学方法、支撑课堂变革，提升专业课程教学智能化水平；</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5" w:hRule="atLeast"/>
          <w:jc w:val="center"/>
        </w:trPr>
        <w:tc>
          <w:tcPr>
            <w:tcW w:w="1119" w:type="dxa"/>
            <w:vMerge w:val="continue"/>
            <w:tcBorders>
              <w:left w:val="single" w:color="auto" w:sz="4" w:space="0"/>
              <w:bottom w:val="single" w:color="auto" w:sz="4" w:space="0"/>
              <w:right w:val="single" w:color="auto" w:sz="4" w:space="0"/>
            </w:tcBorders>
            <w:vAlign w:val="center"/>
          </w:tcPr>
          <w:p>
            <w:pPr>
              <w:jc w:val="left"/>
              <w:rPr>
                <w:rFonts w:ascii="仿宋_GB2312" w:hAnsi="宋体" w:eastAsia="仿宋_GB2312"/>
                <w:snapToGrid w:val="0"/>
                <w:kern w:val="0"/>
                <w:sz w:val="24"/>
              </w:rPr>
            </w:pPr>
          </w:p>
        </w:tc>
        <w:tc>
          <w:tcPr>
            <w:tcW w:w="1418"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仿宋_GB2312" w:hAnsi="宋体" w:eastAsia="仿宋_GB2312"/>
                <w:snapToGrid w:val="0"/>
                <w:kern w:val="0"/>
                <w:sz w:val="24"/>
                <w:szCs w:val="24"/>
              </w:rPr>
            </w:pPr>
            <w:r>
              <w:rPr>
                <w:rFonts w:ascii="仿宋_GB2312" w:hAnsi="宋体" w:eastAsia="仿宋_GB2312" w:cs="宋体"/>
                <w:b/>
                <w:bCs/>
                <w:kern w:val="0"/>
                <w:sz w:val="24"/>
                <w:szCs w:val="24"/>
              </w:rPr>
              <w:t>3.3</w:t>
            </w:r>
            <w:r>
              <w:rPr>
                <w:rFonts w:hint="eastAsia" w:ascii="仿宋_GB2312" w:hAnsi="宋体" w:eastAsia="仿宋_GB2312" w:cs="宋体"/>
                <w:b/>
                <w:bCs/>
                <w:kern w:val="0"/>
                <w:sz w:val="24"/>
                <w:szCs w:val="24"/>
              </w:rPr>
              <w:t>课程资源</w:t>
            </w:r>
            <w:r>
              <w:rPr>
                <w:rFonts w:hint="eastAsia" w:ascii="仿宋_GB2312" w:hAnsi="宋体" w:eastAsia="仿宋_GB2312"/>
                <w:b/>
                <w:bCs/>
                <w:snapToGrid w:val="0"/>
                <w:kern w:val="0"/>
                <w:sz w:val="24"/>
                <w:szCs w:val="24"/>
              </w:rPr>
              <w:t>（</w:t>
            </w:r>
            <w:r>
              <w:rPr>
                <w:rFonts w:ascii="仿宋_GB2312" w:hAnsi="宋体" w:eastAsia="仿宋_GB2312"/>
                <w:b/>
                <w:bCs/>
                <w:snapToGrid w:val="0"/>
                <w:kern w:val="0"/>
                <w:sz w:val="24"/>
                <w:szCs w:val="24"/>
              </w:rPr>
              <w:t>3</w:t>
            </w:r>
            <w:r>
              <w:rPr>
                <w:rFonts w:hint="eastAsia" w:ascii="仿宋_GB2312" w:hAnsi="宋体" w:eastAsia="仿宋_GB2312"/>
                <w:b/>
                <w:bCs/>
                <w:snapToGrid w:val="0"/>
                <w:kern w:val="0"/>
                <w:sz w:val="24"/>
                <w:szCs w:val="24"/>
              </w:rPr>
              <w:t>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1.</w:t>
            </w:r>
            <w:r>
              <w:rPr>
                <w:rFonts w:hint="eastAsia" w:ascii="仿宋_GB2312" w:hAnsi="宋体" w:eastAsia="仿宋_GB2312"/>
                <w:snapToGrid w:val="0"/>
                <w:kern w:val="0"/>
                <w:sz w:val="24"/>
                <w:szCs w:val="24"/>
              </w:rPr>
              <w:t xml:space="preserve"> 严格执行《福建省职业院校教材管理实施细则》，规范教材选用、审批程序，优先选用国家、行业规划教材；根据课程建设需要，鼓励编写校企合作教学改革特色教材和校本教材；</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2.</w:t>
            </w:r>
            <w:r>
              <w:rPr>
                <w:rFonts w:hint="eastAsia" w:ascii="仿宋_GB2312" w:hAnsi="宋体" w:eastAsia="仿宋_GB2312"/>
                <w:snapToGrid w:val="0"/>
                <w:kern w:val="0"/>
                <w:sz w:val="24"/>
                <w:szCs w:val="24"/>
              </w:rPr>
              <w:t>建有数字化专业学习资源，形式多样，内容丰富，使用便捷，更新及时，利用率高；</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3.</w:t>
            </w:r>
            <w:r>
              <w:rPr>
                <w:rFonts w:hint="eastAsia" w:ascii="仿宋_GB2312" w:hAnsi="宋体" w:eastAsia="仿宋_GB2312"/>
                <w:snapToGrid w:val="0"/>
                <w:kern w:val="0"/>
                <w:sz w:val="24"/>
                <w:szCs w:val="24"/>
              </w:rPr>
              <w:t>教学资源库建设取得成效。</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1.</w:t>
            </w:r>
            <w:r>
              <w:rPr>
                <w:rFonts w:hint="eastAsia" w:ascii="仿宋_GB2312" w:hAnsi="宋体" w:eastAsia="仿宋_GB2312"/>
                <w:snapToGrid w:val="0"/>
                <w:kern w:val="0"/>
                <w:sz w:val="24"/>
                <w:szCs w:val="24"/>
              </w:rPr>
              <w:t>严格执行《福建省职业院校教材管理实施细则》，规范和加强教材选用与使用管理，优先选用国家、行业规划教材，选好用好专业教材；</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2.</w:t>
            </w:r>
            <w:r>
              <w:rPr>
                <w:rFonts w:hint="eastAsia" w:ascii="仿宋_GB2312" w:hAnsi="宋体" w:eastAsia="仿宋_GB2312"/>
                <w:snapToGrid w:val="0"/>
                <w:kern w:val="0"/>
                <w:sz w:val="24"/>
                <w:szCs w:val="24"/>
              </w:rPr>
              <w:t>提高教材建设水平，根据专业人才培养和教学实际需要，组织编写反映自身特色的校本专业教材，推进校企“双元”合作编写专业教材，倡导使用新型活页式、工作手册式教材和融媒体教材；</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szCs w:val="24"/>
              </w:rPr>
            </w:pPr>
            <w:r>
              <w:rPr>
                <w:rFonts w:ascii="仿宋_GB2312" w:hAnsi="宋体" w:eastAsia="仿宋_GB2312"/>
                <w:snapToGrid w:val="0"/>
                <w:kern w:val="0"/>
                <w:sz w:val="24"/>
                <w:szCs w:val="24"/>
              </w:rPr>
              <w:t>3.</w:t>
            </w:r>
            <w:r>
              <w:rPr>
                <w:rFonts w:hint="eastAsia" w:ascii="仿宋_GB2312" w:hAnsi="宋体" w:eastAsia="仿宋_GB2312"/>
                <w:snapToGrid w:val="0"/>
                <w:kern w:val="0"/>
                <w:sz w:val="24"/>
                <w:szCs w:val="24"/>
              </w:rPr>
              <w:t xml:space="preserve"> 加强专业教学资源库建设，针对专业教学的需要，校企共同开发网络课程、融媒体教材、虚拟仿真实训软件等信息化专业教学资源，争创国家级、省级职业教育专业（技能）课精品在线开放课程，形成信息化教学资源共建共享机制。</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1119" w:type="dxa"/>
            <w:vMerge w:val="restart"/>
            <w:tcBorders>
              <w:top w:val="single" w:color="auto" w:sz="4" w:space="0"/>
            </w:tcBorders>
            <w:vAlign w:val="center"/>
          </w:tcPr>
          <w:p>
            <w:pPr>
              <w:spacing w:line="320" w:lineRule="exact"/>
              <w:jc w:val="center"/>
              <w:rPr>
                <w:rFonts w:ascii="宋体"/>
                <w:b/>
                <w:sz w:val="24"/>
              </w:rPr>
            </w:pPr>
            <w:r>
              <w:rPr>
                <w:rFonts w:ascii="宋体"/>
                <w:b/>
                <w:sz w:val="24"/>
              </w:rPr>
              <w:t>4</w:t>
            </w:r>
            <w:r>
              <w:rPr>
                <w:rFonts w:hint="eastAsia" w:ascii="宋体"/>
                <w:b/>
                <w:sz w:val="24"/>
              </w:rPr>
              <w:t>.实践教学</w:t>
            </w:r>
          </w:p>
          <w:p>
            <w:pPr>
              <w:spacing w:line="320" w:lineRule="exact"/>
              <w:jc w:val="center"/>
              <w:rPr>
                <w:rFonts w:ascii="仿宋_GB2312" w:hAnsi="宋体" w:eastAsia="仿宋_GB2312"/>
                <w:snapToGrid w:val="0"/>
                <w:kern w:val="0"/>
                <w:sz w:val="24"/>
              </w:rPr>
            </w:pPr>
            <w:r>
              <w:rPr>
                <w:rFonts w:hint="eastAsia" w:ascii="宋体"/>
                <w:b/>
                <w:sz w:val="24"/>
              </w:rPr>
              <w:t>（</w:t>
            </w:r>
            <w:r>
              <w:rPr>
                <w:rFonts w:ascii="宋体"/>
                <w:b/>
                <w:sz w:val="24"/>
              </w:rPr>
              <w:t>10</w:t>
            </w:r>
            <w:r>
              <w:rPr>
                <w:rFonts w:hint="eastAsia" w:ascii="宋体"/>
                <w:b/>
                <w:sz w:val="24"/>
              </w:rPr>
              <w:t>分）</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仿宋_GB2312" w:hAnsi="宋体" w:eastAsia="仿宋_GB2312" w:cs="宋体"/>
                <w:b/>
                <w:bCs/>
                <w:kern w:val="0"/>
                <w:sz w:val="24"/>
              </w:rPr>
            </w:pPr>
            <w:r>
              <w:rPr>
                <w:rFonts w:hint="eastAsia" w:ascii="仿宋_GB2312" w:hAnsi="宋体" w:eastAsia="仿宋_GB2312" w:cs="宋体"/>
                <w:b/>
                <w:bCs/>
                <w:kern w:val="0"/>
                <w:sz w:val="24"/>
              </w:rPr>
              <w:t>4</w:t>
            </w:r>
            <w:r>
              <w:rPr>
                <w:rFonts w:ascii="仿宋_GB2312" w:hAnsi="宋体" w:eastAsia="仿宋_GB2312" w:cs="宋体"/>
                <w:b/>
                <w:bCs/>
                <w:kern w:val="0"/>
                <w:sz w:val="24"/>
              </w:rPr>
              <w:t>.1</w:t>
            </w:r>
            <w:r>
              <w:rPr>
                <w:rFonts w:hint="eastAsia" w:ascii="仿宋_GB2312" w:hAnsi="宋体" w:eastAsia="仿宋_GB2312" w:cs="宋体"/>
                <w:b/>
                <w:bCs/>
                <w:kern w:val="0"/>
                <w:sz w:val="24"/>
              </w:rPr>
              <w:t>校内实践教学条件（3分）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rPr>
            </w:pPr>
            <w:r>
              <w:rPr>
                <w:rFonts w:hint="eastAsia" w:ascii="仿宋_GB2312" w:hAnsi="宋体" w:eastAsia="仿宋_GB2312"/>
                <w:snapToGrid w:val="0"/>
                <w:kern w:val="0"/>
                <w:sz w:val="24"/>
              </w:rPr>
              <w:t>1</w:t>
            </w:r>
            <w:r>
              <w:rPr>
                <w:rFonts w:ascii="仿宋_GB2312" w:hAnsi="宋体" w:eastAsia="仿宋_GB2312"/>
                <w:snapToGrid w:val="0"/>
                <w:kern w:val="0"/>
                <w:sz w:val="24"/>
              </w:rPr>
              <w:t>.</w:t>
            </w:r>
            <w:r>
              <w:rPr>
                <w:rFonts w:hint="eastAsia" w:ascii="仿宋_GB2312" w:hAnsi="宋体" w:eastAsia="仿宋_GB2312"/>
                <w:snapToGrid w:val="0"/>
                <w:kern w:val="0"/>
                <w:sz w:val="24"/>
              </w:rPr>
              <w:t>校内实训条件符合教育部办学条件合格标准，能保证教学计划执行；</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rPr>
            </w:pPr>
            <w:r>
              <w:rPr>
                <w:rFonts w:hint="eastAsia" w:ascii="仿宋_GB2312" w:hAnsi="宋体" w:eastAsia="仿宋_GB2312"/>
                <w:snapToGrid w:val="0"/>
                <w:kern w:val="0"/>
                <w:sz w:val="24"/>
              </w:rPr>
              <w:t>2</w:t>
            </w:r>
            <w:r>
              <w:rPr>
                <w:rFonts w:ascii="仿宋_GB2312" w:hAnsi="宋体" w:eastAsia="仿宋_GB2312"/>
                <w:snapToGrid w:val="0"/>
                <w:kern w:val="0"/>
                <w:sz w:val="24"/>
              </w:rPr>
              <w:t>.</w:t>
            </w:r>
            <w:r>
              <w:rPr>
                <w:rFonts w:hint="eastAsia" w:ascii="仿宋_GB2312" w:hAnsi="宋体" w:eastAsia="仿宋_GB2312"/>
                <w:snapToGrid w:val="0"/>
                <w:kern w:val="0"/>
                <w:sz w:val="24"/>
              </w:rPr>
              <w:t>有校内实训基地建设规划和方案，并按计划实施；</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rPr>
            </w:pPr>
            <w:r>
              <w:rPr>
                <w:rFonts w:ascii="仿宋_GB2312" w:hAnsi="宋体" w:eastAsia="仿宋_GB2312"/>
                <w:snapToGrid w:val="0"/>
                <w:kern w:val="0"/>
                <w:sz w:val="24"/>
              </w:rPr>
              <w:t>3.</w:t>
            </w:r>
            <w:r>
              <w:rPr>
                <w:rFonts w:hint="eastAsia" w:ascii="仿宋_GB2312" w:hAnsi="宋体" w:eastAsia="仿宋_GB2312"/>
                <w:snapToGrid w:val="0"/>
                <w:kern w:val="0"/>
                <w:sz w:val="24"/>
              </w:rPr>
              <w:t>校内实践教学基地设施先进，现代技术含量高，建立了具有真实职业氛围的校内实训基地，能满足学生职业技能和综合实践能力训练需要。</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rPr>
            </w:pPr>
            <w:r>
              <w:rPr>
                <w:rFonts w:hint="eastAsia" w:ascii="仿宋_GB2312" w:hAnsi="宋体" w:eastAsia="仿宋_GB2312"/>
                <w:snapToGrid w:val="0"/>
                <w:kern w:val="0"/>
                <w:sz w:val="24"/>
              </w:rPr>
              <w:t>1</w:t>
            </w:r>
            <w:r>
              <w:rPr>
                <w:rFonts w:ascii="仿宋_GB2312" w:hAnsi="宋体" w:eastAsia="仿宋_GB2312"/>
                <w:snapToGrid w:val="0"/>
                <w:kern w:val="0"/>
                <w:sz w:val="24"/>
              </w:rPr>
              <w:t>.</w:t>
            </w:r>
            <w:r>
              <w:rPr>
                <w:rFonts w:hint="eastAsia" w:ascii="仿宋_GB2312" w:hAnsi="宋体" w:eastAsia="仿宋_GB2312"/>
                <w:snapToGrid w:val="0"/>
                <w:kern w:val="0"/>
                <w:sz w:val="24"/>
              </w:rPr>
              <w:t xml:space="preserve"> 校内实训基地工位充足，实训装备达到教育部发布的专业实训教学条件建设标准，满足专业实践教学需要；</w:t>
            </w:r>
            <w:r>
              <w:rPr>
                <w:rFonts w:ascii="仿宋_GB2312" w:hAnsi="宋体" w:eastAsia="仿宋_GB2312"/>
                <w:snapToGrid w:val="0"/>
                <w:kern w:val="0"/>
                <w:sz w:val="24"/>
              </w:rPr>
              <w:t xml:space="preserve"> </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rPr>
            </w:pPr>
            <w:r>
              <w:rPr>
                <w:rFonts w:ascii="仿宋_GB2312" w:hAnsi="宋体" w:eastAsia="仿宋_GB2312"/>
                <w:snapToGrid w:val="0"/>
                <w:kern w:val="0"/>
                <w:sz w:val="24"/>
              </w:rPr>
              <w:t>2.</w:t>
            </w:r>
            <w:r>
              <w:rPr>
                <w:rFonts w:hint="eastAsia" w:ascii="仿宋_GB2312" w:hAnsi="宋体" w:eastAsia="仿宋_GB2312"/>
                <w:snapToGrid w:val="0"/>
                <w:kern w:val="0"/>
                <w:sz w:val="24"/>
              </w:rPr>
              <w:t>校内实践教学基地设施先进，技术含量高，具有真实(仿真)的职业氛围，依据专业教学实际需要推进数字化实训室和虚拟工厂、虚拟车间等多种形式的虚拟仿真实训室，提升数字化实践教学装备配置水平，满足学生职业技能和综合实践能力训练需要；</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rPr>
            </w:pPr>
            <w:r>
              <w:rPr>
                <w:rFonts w:hint="eastAsia" w:ascii="仿宋_GB2312" w:hAnsi="宋体" w:eastAsia="仿宋_GB2312"/>
                <w:snapToGrid w:val="0"/>
                <w:kern w:val="0"/>
                <w:sz w:val="24"/>
              </w:rPr>
              <w:t>3</w:t>
            </w:r>
            <w:r>
              <w:rPr>
                <w:rFonts w:ascii="仿宋_GB2312" w:hAnsi="宋体" w:eastAsia="仿宋_GB2312"/>
                <w:snapToGrid w:val="0"/>
                <w:kern w:val="0"/>
                <w:sz w:val="24"/>
              </w:rPr>
              <w:t>.</w:t>
            </w:r>
            <w:r>
              <w:rPr>
                <w:rFonts w:hint="eastAsia" w:ascii="仿宋_GB2312" w:hAnsi="宋体" w:eastAsia="仿宋_GB2312"/>
                <w:snapToGrid w:val="0"/>
                <w:kern w:val="0"/>
                <w:sz w:val="24"/>
              </w:rPr>
              <w:t>与企业共建校内生产性实训基地建设，推进实训生产化和产、学、研、训、赛、考等功能一体化。</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jc w:val="center"/>
        </w:trPr>
        <w:tc>
          <w:tcPr>
            <w:tcW w:w="1119" w:type="dxa"/>
            <w:vMerge w:val="continue"/>
            <w:tcBorders>
              <w:top w:val="single" w:color="auto" w:sz="4" w:space="0"/>
            </w:tcBorders>
            <w:vAlign w:val="center"/>
          </w:tcPr>
          <w:p>
            <w:pPr>
              <w:jc w:val="left"/>
              <w:rPr>
                <w:rFonts w:ascii="宋体" w:hAnsi="宋体"/>
                <w:b/>
                <w:szCs w:val="21"/>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仿宋_GB2312" w:hAnsi="宋体" w:eastAsia="仿宋_GB2312" w:cs="宋体"/>
                <w:b/>
                <w:bCs/>
                <w:kern w:val="0"/>
                <w:sz w:val="24"/>
              </w:rPr>
            </w:pPr>
            <w:r>
              <w:rPr>
                <w:rFonts w:ascii="仿宋_GB2312" w:hAnsi="宋体" w:eastAsia="仿宋_GB2312" w:cs="宋体"/>
                <w:b/>
                <w:bCs/>
                <w:kern w:val="0"/>
                <w:sz w:val="24"/>
              </w:rPr>
              <w:t xml:space="preserve">4.2 </w:t>
            </w:r>
            <w:r>
              <w:rPr>
                <w:rFonts w:hint="eastAsia" w:ascii="仿宋_GB2312" w:hAnsi="宋体" w:eastAsia="仿宋_GB2312" w:cs="宋体"/>
                <w:b/>
                <w:bCs/>
                <w:kern w:val="0"/>
                <w:sz w:val="24"/>
              </w:rPr>
              <w:t>校外实践教学条件</w:t>
            </w:r>
            <w:r>
              <w:rPr>
                <w:rFonts w:hint="eastAsia" w:ascii="仿宋_GB2312" w:hAnsi="宋体" w:eastAsia="仿宋_GB2312"/>
                <w:b/>
                <w:bCs/>
                <w:snapToGrid w:val="0"/>
                <w:kern w:val="0"/>
                <w:sz w:val="24"/>
              </w:rPr>
              <w:t>（</w:t>
            </w:r>
            <w:r>
              <w:rPr>
                <w:rFonts w:ascii="仿宋_GB2312" w:hAnsi="宋体" w:eastAsia="仿宋_GB2312"/>
                <w:b/>
                <w:bCs/>
                <w:snapToGrid w:val="0"/>
                <w:kern w:val="0"/>
                <w:sz w:val="24"/>
              </w:rPr>
              <w:t>3</w:t>
            </w:r>
            <w:r>
              <w:rPr>
                <w:rFonts w:hint="eastAsia" w:ascii="仿宋_GB2312" w:hAnsi="宋体" w:eastAsia="仿宋_GB2312"/>
                <w:b/>
                <w:bCs/>
                <w:snapToGrid w:val="0"/>
                <w:kern w:val="0"/>
                <w:sz w:val="24"/>
              </w:rPr>
              <w:t>（分）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rPr>
            </w:pPr>
            <w:r>
              <w:rPr>
                <w:rFonts w:ascii="仿宋_GB2312" w:hAnsi="宋体" w:eastAsia="仿宋_GB2312"/>
                <w:snapToGrid w:val="0"/>
                <w:kern w:val="0"/>
                <w:sz w:val="24"/>
              </w:rPr>
              <w:t>1.</w:t>
            </w:r>
            <w:r>
              <w:rPr>
                <w:rFonts w:hint="eastAsia" w:ascii="仿宋_GB2312" w:hAnsi="宋体" w:eastAsia="仿宋_GB2312"/>
                <w:snapToGrid w:val="0"/>
                <w:kern w:val="0"/>
                <w:sz w:val="24"/>
              </w:rPr>
              <w:t>校外实习实训基地长期稳定，有一定数量的、行业内有影响的实习企业（医院），能满足学生专业认识或岗位实习的需要；</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rPr>
            </w:pPr>
            <w:r>
              <w:rPr>
                <w:rFonts w:ascii="仿宋_GB2312" w:hAnsi="宋体" w:eastAsia="仿宋_GB2312"/>
                <w:snapToGrid w:val="0"/>
                <w:kern w:val="0"/>
                <w:sz w:val="24"/>
              </w:rPr>
              <w:t>2</w:t>
            </w:r>
            <w:r>
              <w:rPr>
                <w:rFonts w:hint="eastAsia" w:ascii="仿宋_GB2312" w:hAnsi="宋体" w:eastAsia="仿宋_GB2312"/>
                <w:snapToGrid w:val="0"/>
                <w:kern w:val="0"/>
                <w:sz w:val="24"/>
              </w:rPr>
              <w:t>校外实习实训基地有健全的教学管理制度和教学质量监控实施制度，稳定的教学管理队伍（管理人员和指导教师）。</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rPr>
            </w:pPr>
            <w:r>
              <w:rPr>
                <w:rFonts w:ascii="仿宋_GB2312" w:hAnsi="宋体" w:eastAsia="仿宋_GB2312"/>
                <w:snapToGrid w:val="0"/>
                <w:kern w:val="0"/>
                <w:sz w:val="24"/>
              </w:rPr>
              <w:t>1.</w:t>
            </w:r>
            <w:r>
              <w:rPr>
                <w:rFonts w:hint="eastAsia" w:ascii="仿宋_GB2312" w:hAnsi="宋体" w:eastAsia="仿宋_GB2312"/>
                <w:snapToGrid w:val="0"/>
                <w:kern w:val="0"/>
                <w:sz w:val="24"/>
              </w:rPr>
              <w:t>校外实习实训基地稳定，所在企业、单位在行业中有较强影响力，硬件水平高，实习管理规范，企业指导教师数量多、层次高，校外实训效果好；</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仿宋_GB2312" w:hAnsi="宋体" w:eastAsia="仿宋_GB2312"/>
                <w:snapToGrid w:val="0"/>
                <w:kern w:val="0"/>
                <w:sz w:val="24"/>
              </w:rPr>
            </w:pPr>
            <w:r>
              <w:rPr>
                <w:rFonts w:ascii="仿宋_GB2312" w:hAnsi="宋体" w:eastAsia="仿宋_GB2312"/>
                <w:snapToGrid w:val="0"/>
                <w:kern w:val="0"/>
                <w:sz w:val="24"/>
              </w:rPr>
              <w:t>2.</w:t>
            </w:r>
            <w:r>
              <w:rPr>
                <w:rFonts w:hint="eastAsia" w:ascii="仿宋_GB2312" w:hAnsi="宋体" w:eastAsia="仿宋_GB2312"/>
                <w:snapToGrid w:val="0"/>
                <w:kern w:val="0"/>
                <w:sz w:val="24"/>
              </w:rPr>
              <w:t>统筹多种资源，与企事业单位、工业（产业）园区等合作共建融校外实践教学、学生就业、教师实践、合作技术研发、合作开展社会服务等多位一体合作共赢、校企共建、共管的校外实训基地。</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1119" w:type="dxa"/>
            <w:vMerge w:val="continue"/>
            <w:vAlign w:val="center"/>
          </w:tcPr>
          <w:p>
            <w:pPr>
              <w:jc w:val="left"/>
              <w:rPr>
                <w:rFonts w:ascii="仿宋_GB2312" w:hAnsi="宋体" w:eastAsia="仿宋_GB2312"/>
                <w:snapToGrid w:val="0"/>
                <w:kern w:val="0"/>
                <w:sz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left"/>
              <w:textAlignment w:val="auto"/>
              <w:rPr>
                <w:rFonts w:hint="eastAsia" w:ascii="仿宋" w:hAnsi="仿宋" w:eastAsia="仿宋" w:cs="仿宋"/>
                <w:b/>
                <w:bCs/>
                <w:snapToGrid w:val="0"/>
                <w:kern w:val="0"/>
                <w:sz w:val="24"/>
              </w:rPr>
            </w:pPr>
            <w:r>
              <w:rPr>
                <w:rFonts w:hint="eastAsia" w:ascii="仿宋" w:hAnsi="仿宋" w:eastAsia="仿宋" w:cs="仿宋"/>
                <w:b/>
                <w:bCs/>
                <w:snapToGrid w:val="0"/>
                <w:kern w:val="0"/>
                <w:sz w:val="24"/>
              </w:rPr>
              <w:t>4.3实践教学内容与管理(4分)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1.有完备的实践教学管理制度和实践基地管理制度（含安全管理），课程实训、专项实习、岗位实习教学标准、实训指导书等教学文件齐全，管理队伍健全，管理规范，运行良好；</w:t>
            </w:r>
          </w:p>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2.实训开出率≥90%，实训室</w:t>
            </w:r>
            <w:r>
              <w:rPr>
                <w:rFonts w:hint="eastAsia" w:ascii="仿宋" w:hAnsi="仿宋" w:eastAsia="仿宋" w:cs="仿宋"/>
                <w:snapToGrid w:val="0"/>
                <w:kern w:val="0"/>
                <w:sz w:val="24"/>
                <w:lang w:val="en-US" w:eastAsia="zh-CN"/>
              </w:rPr>
              <w:t>实施开放管理，课外对</w:t>
            </w:r>
            <w:r>
              <w:rPr>
                <w:rFonts w:hint="eastAsia" w:ascii="仿宋" w:hAnsi="仿宋" w:eastAsia="仿宋" w:cs="仿宋"/>
                <w:snapToGrid w:val="0"/>
                <w:kern w:val="0"/>
                <w:sz w:val="24"/>
              </w:rPr>
              <w:t>学生开放</w:t>
            </w:r>
            <w:r>
              <w:rPr>
                <w:rFonts w:hint="eastAsia" w:ascii="仿宋" w:hAnsi="仿宋" w:eastAsia="仿宋" w:cs="仿宋"/>
                <w:snapToGrid w:val="0"/>
                <w:kern w:val="0"/>
                <w:sz w:val="24"/>
                <w:lang w:eastAsia="zh-CN"/>
              </w:rPr>
              <w:t>，</w:t>
            </w:r>
            <w:r>
              <w:rPr>
                <w:rFonts w:hint="eastAsia" w:ascii="仿宋" w:hAnsi="仿宋" w:eastAsia="仿宋" w:cs="仿宋"/>
                <w:snapToGrid w:val="0"/>
                <w:kern w:val="0"/>
                <w:sz w:val="24"/>
              </w:rPr>
              <w:t>实验实训设备使用率高；</w:t>
            </w:r>
          </w:p>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3.实践教学评价多样，包括教师评价和学生互评相结合、过程评价和结果评价相结合；</w:t>
            </w:r>
          </w:p>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4.规范执行实习前培训、实习后综合考核制度，学生岗位实习责任保险、信息通报等安全制度落实到位；</w:t>
            </w:r>
          </w:p>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 xml:space="preserve">5.校外实践教学校内外管理人员共管机制运行良好，学生实习过程有效监控； </w:t>
            </w:r>
          </w:p>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6.按实习大纲要求，安排实习轮转计划，严格执行轮岗（出科）考核制度。</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1.实训基地管理制度完善，课程实训、专项实习、岗位实习教学标准、实训指导书等教学文件齐全，编写质量高，实训教学管理规范，运行良好，积极探索实施实训室对学生开放管理；</w:t>
            </w:r>
          </w:p>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2.实践教学设计合理、符合专业培养目标要求，专业实践教学项目体现真实工作任务、真实案例，凸显学生职业精神与综合素质培养，实训项目（任务）开出率达到95%以上；</w:t>
            </w:r>
          </w:p>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3.建立以职业能力培养为主线、课内外互补、校内外结合的专业实践教学体系，推进实训教学评价改革，提高实训教学质量。具有符合要求的稳定实践教学指导教师队伍，精心安排实践教学环节，学生毕业设计、毕业论文选题来源于工作一线；</w:t>
            </w:r>
          </w:p>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4.建立健全学生实习管理制度，认真制定实习计划，统筹认识实习、岗位实习等形式，保证学生实习岗位与其所学专业面向的岗位群基本一致，配齐配强实习指导教师和管理人员队伍，建立学生实习全过程跟踪监管机制，确保实习质量和实习安全，维护学生合法权益。</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1119" w:type="dxa"/>
            <w:vMerge w:val="restart"/>
            <w:vAlign w:val="center"/>
          </w:tcPr>
          <w:p>
            <w:pPr>
              <w:spacing w:line="320" w:lineRule="exact"/>
              <w:jc w:val="center"/>
              <w:rPr>
                <w:rFonts w:ascii="宋体"/>
                <w:b/>
                <w:sz w:val="24"/>
              </w:rPr>
            </w:pPr>
            <w:r>
              <w:rPr>
                <w:rFonts w:ascii="宋体"/>
                <w:b/>
                <w:sz w:val="24"/>
              </w:rPr>
              <w:t>5</w:t>
            </w:r>
            <w:r>
              <w:rPr>
                <w:rFonts w:hint="eastAsia" w:ascii="宋体"/>
                <w:b/>
                <w:sz w:val="24"/>
              </w:rPr>
              <w:t>.专业师资</w:t>
            </w:r>
          </w:p>
          <w:p>
            <w:pPr>
              <w:spacing w:line="320" w:lineRule="exact"/>
              <w:jc w:val="center"/>
              <w:rPr>
                <w:rFonts w:ascii="宋体"/>
                <w:b/>
                <w:sz w:val="24"/>
              </w:rPr>
            </w:pPr>
            <w:r>
              <w:rPr>
                <w:rFonts w:hint="eastAsia" w:ascii="宋体"/>
                <w:b/>
                <w:sz w:val="24"/>
              </w:rPr>
              <w:t>（</w:t>
            </w:r>
            <w:r>
              <w:rPr>
                <w:rFonts w:ascii="宋体"/>
                <w:b/>
                <w:sz w:val="24"/>
              </w:rPr>
              <w:t>19</w:t>
            </w:r>
            <w:r>
              <w:rPr>
                <w:rFonts w:hint="eastAsia" w:ascii="宋体"/>
                <w:b/>
                <w:sz w:val="24"/>
              </w:rPr>
              <w:t>分）</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left"/>
              <w:textAlignment w:val="auto"/>
              <w:rPr>
                <w:rFonts w:hint="eastAsia" w:ascii="仿宋" w:hAnsi="仿宋" w:eastAsia="仿宋" w:cs="仿宋"/>
                <w:b/>
                <w:bCs/>
                <w:snapToGrid w:val="0"/>
                <w:kern w:val="0"/>
                <w:sz w:val="24"/>
              </w:rPr>
            </w:pPr>
            <w:r>
              <w:rPr>
                <w:rFonts w:hint="eastAsia" w:ascii="仿宋" w:hAnsi="仿宋" w:eastAsia="仿宋" w:cs="仿宋"/>
                <w:b/>
                <w:bCs/>
                <w:snapToGrid w:val="0"/>
                <w:kern w:val="0"/>
                <w:sz w:val="24"/>
              </w:rPr>
              <w:t>5.1 专业带头人（2分）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1.专业带头人有较高的学术水平和专业实践能力；</w:t>
            </w:r>
          </w:p>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2.在专业领域和行业内有一定的影响力；</w:t>
            </w:r>
          </w:p>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3.在专业建设中充分发挥带头作用。</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加强专业带头人选聘和培养，设立名师工作室、技能大师工作室等平台，聘请专业水平高、实践经历丰富、具有一定行业影响的来自企业的兼职专业带头人，培育师德高尚、专业精湛、技艺高超、组织协调能力强的专业带头人；</w:t>
            </w:r>
          </w:p>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2.专业带头人具有相关专业背景和丰富企业实践经历，在行业有一定影响，能够准确把握行业动态和发展趋势，专业水平高，科研及管理能力强;</w:t>
            </w:r>
          </w:p>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3.专业带头人具有硕士及以上学历（学位）、高级专业技术职称，获得省级及以上职业教育教学成果奖或在省级及以上教学能力比赛获奖；获省级专业带头人培养对象。</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0" w:hRule="atLeast"/>
          <w:jc w:val="center"/>
        </w:trPr>
        <w:tc>
          <w:tcPr>
            <w:tcW w:w="1119" w:type="dxa"/>
            <w:vMerge w:val="continue"/>
            <w:vAlign w:val="center"/>
          </w:tcPr>
          <w:p>
            <w:pPr>
              <w:jc w:val="left"/>
              <w:rPr>
                <w:rFonts w:ascii="仿宋_GB2312" w:hAnsi="宋体" w:eastAsia="仿宋_GB2312"/>
                <w:snapToGrid w:val="0"/>
                <w:kern w:val="0"/>
                <w:sz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b/>
                <w:bCs/>
                <w:snapToGrid w:val="0"/>
                <w:kern w:val="0"/>
                <w:sz w:val="24"/>
              </w:rPr>
            </w:pPr>
            <w:r>
              <w:rPr>
                <w:rFonts w:hint="eastAsia" w:ascii="仿宋" w:hAnsi="仿宋" w:eastAsia="仿宋" w:cs="仿宋"/>
                <w:b/>
                <w:bCs/>
                <w:snapToGrid w:val="0"/>
                <w:kern w:val="0"/>
                <w:sz w:val="24"/>
              </w:rPr>
              <w:t>5.2队伍结构</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b/>
                <w:snapToGrid w:val="0"/>
                <w:kern w:val="0"/>
                <w:sz w:val="24"/>
              </w:rPr>
            </w:pPr>
            <w:r>
              <w:rPr>
                <w:rFonts w:hint="eastAsia" w:ascii="仿宋" w:hAnsi="仿宋" w:eastAsia="仿宋" w:cs="仿宋"/>
                <w:b/>
                <w:bCs/>
                <w:snapToGrid w:val="0"/>
                <w:kern w:val="0"/>
                <w:sz w:val="24"/>
              </w:rPr>
              <w:t>（3分）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1.专业课教师数大于教育部办学条件基本合格标准；本专业教师队伍名册、结构、教师业务档案清晰；</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 xml:space="preserve">2.教师职称结构、学历结构良好、年龄结构、专业结构合理，优于教育部办学条作基本合格标准；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3.师资队伍建设有规划和实施方案，建设成效显著。</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1.专任教师企业经历丰富，实践能力强;师资队伍结构优化，梯队合理;</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落实国家职业院校教师专业标准，专业教师数量结构满足专业教学需要，高级专业技术职称的比例、生师比、研究生学历或硕士学位（不含在读）以上的比例优于教育部办学条件合格标准，形成职称、学历、年龄结构合理的专业教学师资队伍。</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8" w:hRule="atLeast"/>
          <w:jc w:val="center"/>
        </w:trPr>
        <w:tc>
          <w:tcPr>
            <w:tcW w:w="1119" w:type="dxa"/>
            <w:vMerge w:val="continue"/>
            <w:vAlign w:val="center"/>
          </w:tcPr>
          <w:p>
            <w:pPr>
              <w:jc w:val="left"/>
              <w:rPr>
                <w:rFonts w:ascii="仿宋_GB2312" w:hAnsi="宋体" w:eastAsia="仿宋_GB2312"/>
                <w:snapToGrid w:val="0"/>
                <w:kern w:val="0"/>
                <w:sz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b/>
                <w:bCs/>
                <w:snapToGrid w:val="0"/>
                <w:kern w:val="0"/>
                <w:sz w:val="24"/>
              </w:rPr>
            </w:pPr>
            <w:r>
              <w:rPr>
                <w:rFonts w:hint="eastAsia" w:ascii="仿宋" w:hAnsi="仿宋" w:eastAsia="仿宋" w:cs="仿宋"/>
                <w:b/>
                <w:bCs/>
                <w:snapToGrid w:val="0"/>
                <w:kern w:val="0"/>
                <w:sz w:val="24"/>
              </w:rPr>
              <w:t>5.3师德与履职能力</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snapToGrid w:val="0"/>
                <w:kern w:val="0"/>
                <w:sz w:val="24"/>
              </w:rPr>
            </w:pPr>
            <w:r>
              <w:rPr>
                <w:rFonts w:hint="eastAsia" w:ascii="仿宋" w:hAnsi="仿宋" w:eastAsia="仿宋" w:cs="仿宋"/>
                <w:b/>
                <w:bCs/>
                <w:snapToGrid w:val="0"/>
                <w:kern w:val="0"/>
                <w:sz w:val="24"/>
              </w:rPr>
              <w:t>（3分）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 落实教师队伍管理制度，重视师德建设，教师关爱学生，爱岗敬业，教书育人；</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2.没有有损教师形象或学校声誉的行为，无符合事实的学生投诉,无教学事故。</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1.教师队伍管理制度执行效果良好，新任教师“先培训后上岗”制度、教师到企业实践制度，以老带新的青年教师培养机制完善，建立健全教师与企业人才双向交流、聘用制度，促进专业教师向“双师型”发展</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 完善“双师型”教师评价制度，强化师德考核，突出教师的教育教学实绩、加强实践技能水平和专业教学能力评价；</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3.教师教学改革意识和质量意识强，教学水平高，科研成果丰硕;</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atLeast"/>
          <w:jc w:val="center"/>
        </w:trPr>
        <w:tc>
          <w:tcPr>
            <w:tcW w:w="1119" w:type="dxa"/>
            <w:vMerge w:val="restart"/>
            <w:vAlign w:val="center"/>
          </w:tcPr>
          <w:p>
            <w:pPr>
              <w:jc w:val="left"/>
              <w:rPr>
                <w:rFonts w:ascii="仿宋_GB2312" w:hAnsi="宋体" w:eastAsia="仿宋_GB2312"/>
                <w:snapToGrid w:val="0"/>
                <w:kern w:val="0"/>
                <w:sz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b/>
                <w:bCs/>
                <w:snapToGrid w:val="0"/>
                <w:kern w:val="0"/>
                <w:sz w:val="24"/>
              </w:rPr>
            </w:pPr>
            <w:r>
              <w:rPr>
                <w:rFonts w:hint="eastAsia" w:ascii="仿宋" w:hAnsi="仿宋" w:eastAsia="仿宋" w:cs="仿宋"/>
                <w:b/>
                <w:bCs/>
                <w:snapToGrid w:val="0"/>
                <w:kern w:val="0"/>
                <w:sz w:val="24"/>
              </w:rPr>
              <w:t>5.4专业教师实践能力（4分）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 xml:space="preserve">1.专任教师中“双师型”教师数比例到达70%；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2.专业教师参加专业实践的时间达到学院相关规定，考核合格。</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1.培养和引进双师型教师;优化“双师”队伍结构;实施“双师”教师素质提高计划，“双师型”教师比例不低于75%；有行业中级以上专业技术职称比例高于学校平均水平的5%；</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2.落实全员轮训，专业教师赴企业实践符合教育部关于职业院校教师到企业实践的规定，下企业实践人数多，累计时间长，技能水平显著提升。</w:t>
            </w:r>
          </w:p>
        </w:tc>
        <w:tc>
          <w:tcPr>
            <w:tcW w:w="690" w:type="dxa"/>
          </w:tcPr>
          <w:p>
            <w:pPr>
              <w:spacing w:line="38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8" w:hRule="atLeast"/>
          <w:jc w:val="center"/>
        </w:trPr>
        <w:tc>
          <w:tcPr>
            <w:tcW w:w="1119" w:type="dxa"/>
            <w:vMerge w:val="continue"/>
            <w:vAlign w:val="center"/>
          </w:tcPr>
          <w:p>
            <w:pPr>
              <w:jc w:val="left"/>
              <w:rPr>
                <w:rFonts w:ascii="仿宋_GB2312" w:hAnsi="宋体" w:eastAsia="仿宋_GB2312"/>
                <w:snapToGrid w:val="0"/>
                <w:kern w:val="0"/>
                <w:sz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5.5 教学科研能力（3分）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1.专业教学研究有总体规划、具体方案和配套措施；</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2.近3年在省级以上组织的教学比赛中获奖；</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3.近3年有校省级以上教学改革立项项目和成果；</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4.近3年有校级、省级、国家级科研立项项目和成果。</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5.根据本专业特点和学生实际有针对性的开展了职业教育教学规律、人才培养模式、课程体系、教学内容、教学方法和手段改革的研究；</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6.有明确的教学改革试点课程，有方案、有目标、有总结。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1.专业教学研究有总体规划、具体方案和配套措施；</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2.根据本专业特点和学生实际有针对性的开展了职业教育教学规律、人才培养模式、课程体系、教学内容、教学方法和手段改革的研究并取得成效；</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3.积极推进课程教学改革试点，有明确的试点课程，有方案、有目标、有总结。</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4.有教研教改成果在校内推广；</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5.打破专业群各专业之间的界限，面向产业链不同职业岗位，选择同一方向、课程模块的教师组成结构化专业群教学创新团队，发挥教师团队协作优势，提高模块化教学水平、课程教材开发能力，近3年在省级以上教学比赛中获一等奖一项以上；</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 xml:space="preserve">6.加强专业群教师教学创新团队培养，采取跟岗研修、访学研修、结对学习、联合教研、项目研究、校企交流等灵活多样方式，促进教师创新团队专业发展，争创国家级、省级职业院校教师教学创新团队，近3年有省级以上教学改革或科研立项项目和成果。 </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9" w:hRule="atLeast"/>
          <w:jc w:val="center"/>
        </w:trPr>
        <w:tc>
          <w:tcPr>
            <w:tcW w:w="1119" w:type="dxa"/>
            <w:vMerge w:val="continue"/>
            <w:vAlign w:val="center"/>
          </w:tcPr>
          <w:p>
            <w:pPr>
              <w:jc w:val="left"/>
              <w:rPr>
                <w:rFonts w:ascii="仿宋_GB2312" w:hAnsi="宋体" w:eastAsia="仿宋_GB2312"/>
                <w:snapToGrid w:val="0"/>
                <w:kern w:val="0"/>
                <w:sz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5.6兼职教师</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snapToGrid w:val="0"/>
                <w:kern w:val="0"/>
                <w:sz w:val="24"/>
                <w:szCs w:val="24"/>
              </w:rPr>
            </w:pPr>
            <w:r>
              <w:rPr>
                <w:rFonts w:hint="eastAsia" w:ascii="仿宋" w:hAnsi="仿宋" w:eastAsia="仿宋" w:cs="仿宋"/>
                <w:b/>
                <w:bCs/>
                <w:snapToGrid w:val="0"/>
                <w:kern w:val="0"/>
                <w:sz w:val="24"/>
                <w:szCs w:val="24"/>
              </w:rPr>
              <w:t>（4分）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1.聘请来自企业一线的兼职教师占教职工总数的比例达30%以上；校外见习、实习有稳定的兼职教师队伍，兼职教师承担的校内专业课学时比例达到10%以上；</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2.兼职教师具有中级以上职称</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1.注重吸引高水平行业精英和企业骨干来校任教，占专业教师总数的比例达35%以上；</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2.校外兼职教师具有丰富企业工作经历，在行业中具有一定影响力，具有中级以上职称、行业内享有较高声誉的技术骨干或能工巧匠具有相当的技术职务或职业资格；</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w:t>
            </w:r>
            <w:r>
              <w:rPr>
                <w:rFonts w:hint="eastAsia" w:ascii="仿宋" w:hAnsi="仿宋" w:eastAsia="仿宋" w:cs="仿宋"/>
                <w:w w:val="99"/>
                <w:sz w:val="24"/>
                <w:szCs w:val="24"/>
              </w:rPr>
              <w:t>注重校企协同建设专业群教学创新团队，</w:t>
            </w:r>
            <w:r>
              <w:rPr>
                <w:rFonts w:hint="eastAsia" w:ascii="仿宋" w:hAnsi="仿宋" w:eastAsia="仿宋" w:cs="仿宋"/>
                <w:snapToGrid w:val="0"/>
                <w:w w:val="99"/>
                <w:kern w:val="0"/>
                <w:sz w:val="24"/>
                <w:szCs w:val="24"/>
              </w:rPr>
              <w:t>聘请行业企业专业技术人才、高技能人才兼职参与专业建设、课程建设、名师工作室建设、产学研合作等，形成专任教师与产业导师专兼相结合的教学创新团队。</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9" w:hRule="atLeast"/>
          <w:jc w:val="center"/>
        </w:trPr>
        <w:tc>
          <w:tcPr>
            <w:tcW w:w="1119" w:type="dxa"/>
            <w:vMerge w:val="restart"/>
            <w:vAlign w:val="center"/>
          </w:tcPr>
          <w:p>
            <w:pPr>
              <w:spacing w:line="320" w:lineRule="exact"/>
              <w:jc w:val="center"/>
              <w:rPr>
                <w:rFonts w:ascii="宋体"/>
                <w:b/>
                <w:sz w:val="24"/>
              </w:rPr>
            </w:pPr>
            <w:r>
              <w:rPr>
                <w:rFonts w:ascii="宋体"/>
                <w:b/>
                <w:sz w:val="24"/>
              </w:rPr>
              <w:t xml:space="preserve">6 </w:t>
            </w:r>
            <w:r>
              <w:rPr>
                <w:rFonts w:hint="eastAsia" w:ascii="宋体"/>
                <w:b/>
                <w:sz w:val="24"/>
              </w:rPr>
              <w:t>.学生满意度</w:t>
            </w:r>
          </w:p>
          <w:p>
            <w:pPr>
              <w:spacing w:line="320" w:lineRule="exact"/>
              <w:jc w:val="center"/>
              <w:rPr>
                <w:rFonts w:ascii="宋体"/>
                <w:b/>
                <w:snapToGrid w:val="0"/>
                <w:kern w:val="0"/>
                <w:szCs w:val="21"/>
              </w:rPr>
            </w:pPr>
            <w:r>
              <w:rPr>
                <w:rFonts w:hint="eastAsia" w:ascii="宋体"/>
                <w:b/>
                <w:sz w:val="24"/>
              </w:rPr>
              <w:t>（</w:t>
            </w:r>
            <w:r>
              <w:rPr>
                <w:rFonts w:ascii="宋体"/>
                <w:b/>
                <w:sz w:val="24"/>
              </w:rPr>
              <w:t>6</w:t>
            </w:r>
            <w:r>
              <w:rPr>
                <w:rFonts w:hint="eastAsia" w:ascii="宋体"/>
                <w:b/>
                <w:sz w:val="24"/>
              </w:rPr>
              <w:t>分）</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6.1对教学保障的满意度(3分)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1.学生了解人才培养方案，并参与人才培养方案建设工作；</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2.对专业课程、师资、实训、实习等的满意度，学生对课堂教学和实践教学满意度≥85%</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3.对就业创业指导、学生工作与服务的满意度≥80%</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1.学生熟悉人才培养方案，并积极参与人才培养方案的建设与实施工作；</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2.学生对课堂教学和实践教学的满意度≥90%</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3.对就业创业指导、学生工作与服务的满意度≥85%</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1119" w:type="dxa"/>
            <w:vMerge w:val="continue"/>
            <w:vAlign w:val="center"/>
          </w:tcPr>
          <w:p>
            <w:pPr>
              <w:jc w:val="left"/>
              <w:rPr>
                <w:rFonts w:ascii="仿宋_GB2312" w:hAnsi="宋体" w:eastAsia="仿宋_GB2312"/>
                <w:snapToGrid w:val="0"/>
                <w:kern w:val="0"/>
                <w:sz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6.2毕业生满意度(3分)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1.毕业生工作能力满足度达75%；</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2.毕业生核心知识满足度达70%；</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毕业生满意度及用人单位满意度持续提高：</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1.毕业生工作能力满足度达80%；</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2.毕业生核心知识满足度达75%；</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1119" w:type="dxa"/>
            <w:vMerge w:val="restart"/>
            <w:vAlign w:val="center"/>
          </w:tcPr>
          <w:p>
            <w:pPr>
              <w:spacing w:line="320" w:lineRule="exact"/>
              <w:jc w:val="center"/>
              <w:rPr>
                <w:rFonts w:ascii="仿宋_GB2312" w:hAnsi="宋体" w:eastAsia="仿宋_GB2312"/>
                <w:snapToGrid w:val="0"/>
                <w:kern w:val="0"/>
                <w:sz w:val="24"/>
              </w:rPr>
            </w:pPr>
            <w:r>
              <w:rPr>
                <w:rFonts w:ascii="宋体"/>
                <w:b/>
                <w:sz w:val="24"/>
              </w:rPr>
              <w:t>7</w:t>
            </w:r>
            <w:r>
              <w:rPr>
                <w:rFonts w:hint="eastAsia" w:ascii="宋体"/>
                <w:b/>
                <w:sz w:val="24"/>
              </w:rPr>
              <w:t>.人才培养质量</w:t>
            </w:r>
            <w:r>
              <w:rPr>
                <w:rFonts w:ascii="宋体"/>
                <w:b/>
                <w:sz w:val="24"/>
              </w:rPr>
              <w:t>(15</w:t>
            </w:r>
            <w:r>
              <w:rPr>
                <w:rFonts w:hint="eastAsia" w:ascii="宋体"/>
                <w:b/>
                <w:sz w:val="24"/>
              </w:rPr>
              <w:t>分</w:t>
            </w:r>
            <w:r>
              <w:rPr>
                <w:rFonts w:ascii="宋体"/>
                <w:b/>
                <w:sz w:val="24"/>
              </w:rPr>
              <w:t>)</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7.1用人单位满意度（3分）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用人单位对毕业生</w:t>
            </w:r>
            <w:r>
              <w:rPr>
                <w:rFonts w:hint="eastAsia" w:ascii="仿宋" w:hAnsi="仿宋" w:eastAsia="仿宋" w:cs="仿宋"/>
                <w:snapToGrid w:val="0"/>
                <w:kern w:val="0"/>
                <w:sz w:val="24"/>
                <w:szCs w:val="24"/>
                <w:highlight w:val="none"/>
              </w:rPr>
              <w:t>从业能力的满意度达85%</w:t>
            </w:r>
            <w:r>
              <w:rPr>
                <w:rFonts w:hint="eastAsia" w:ascii="仿宋" w:hAnsi="仿宋" w:eastAsia="仿宋" w:cs="仿宋"/>
                <w:snapToGrid w:val="0"/>
                <w:kern w:val="0"/>
                <w:sz w:val="24"/>
                <w:szCs w:val="24"/>
                <w:highlight w:val="none"/>
                <w:lang w:val="en-US" w:eastAsia="zh-CN"/>
              </w:rPr>
              <w:t>以上，高于</w:t>
            </w:r>
            <w:r>
              <w:rPr>
                <w:rFonts w:hint="eastAsia" w:ascii="仿宋" w:hAnsi="仿宋" w:eastAsia="仿宋" w:cs="仿宋"/>
                <w:snapToGrid w:val="0"/>
                <w:kern w:val="0"/>
                <w:sz w:val="24"/>
                <w:szCs w:val="24"/>
                <w:highlight w:val="none"/>
              </w:rPr>
              <w:t>学校整体平均值。</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用人单位对毕业生满意度持续提高，毕业生获得社会普遍认可，</w:t>
            </w:r>
            <w:r>
              <w:rPr>
                <w:rFonts w:hint="eastAsia" w:ascii="仿宋" w:hAnsi="仿宋" w:eastAsia="仿宋" w:cs="仿宋"/>
                <w:snapToGrid w:val="0"/>
                <w:kern w:val="0"/>
                <w:sz w:val="24"/>
                <w:szCs w:val="24"/>
                <w:highlight w:val="none"/>
              </w:rPr>
              <w:t>从业能力的满意度达90%</w:t>
            </w:r>
            <w:r>
              <w:rPr>
                <w:rFonts w:hint="eastAsia" w:ascii="仿宋" w:hAnsi="仿宋" w:eastAsia="仿宋" w:cs="仿宋"/>
                <w:snapToGrid w:val="0"/>
                <w:kern w:val="0"/>
                <w:sz w:val="24"/>
                <w:szCs w:val="24"/>
                <w:highlight w:val="none"/>
                <w:lang w:val="en-US" w:eastAsia="zh-CN"/>
              </w:rPr>
              <w:t>以上，</w:t>
            </w:r>
            <w:r>
              <w:rPr>
                <w:rFonts w:hint="eastAsia" w:ascii="仿宋" w:hAnsi="仿宋" w:eastAsia="仿宋" w:cs="仿宋"/>
                <w:snapToGrid w:val="0"/>
                <w:kern w:val="0"/>
                <w:sz w:val="24"/>
                <w:szCs w:val="24"/>
                <w:highlight w:val="none"/>
              </w:rPr>
              <w:t>比学校平均值高5%。</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54" w:hRule="atLeast"/>
          <w:jc w:val="center"/>
        </w:trPr>
        <w:tc>
          <w:tcPr>
            <w:tcW w:w="1119" w:type="dxa"/>
            <w:vMerge w:val="continue"/>
            <w:vAlign w:val="center"/>
          </w:tcPr>
          <w:p>
            <w:pPr>
              <w:jc w:val="left"/>
              <w:rPr>
                <w:rFonts w:ascii="仿宋_GB2312" w:hAnsi="宋体" w:eastAsia="仿宋_GB2312"/>
                <w:snapToGrid w:val="0"/>
                <w:kern w:val="0"/>
                <w:sz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7.2就业状况</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napToGrid w:val="0"/>
                <w:kern w:val="0"/>
                <w:sz w:val="24"/>
                <w:szCs w:val="24"/>
              </w:rPr>
            </w:pPr>
            <w:r>
              <w:rPr>
                <w:rFonts w:hint="eastAsia" w:ascii="仿宋" w:hAnsi="仿宋" w:eastAsia="仿宋" w:cs="仿宋"/>
                <w:b/>
                <w:bCs/>
                <w:snapToGrid w:val="0"/>
                <w:kern w:val="0"/>
                <w:sz w:val="24"/>
                <w:szCs w:val="24"/>
              </w:rPr>
              <w:t>（6分）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1.毕业生初次就业率达到90%，高于本省高职院校的平均水平；</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.毕业生就业情况分析（包括工作单位、就业地域分布等）；</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lang w:val="en-US" w:eastAsia="zh-CN"/>
              </w:rPr>
              <w:t>3</w:t>
            </w:r>
            <w:r>
              <w:rPr>
                <w:rFonts w:hint="eastAsia" w:ascii="仿宋" w:hAnsi="仿宋" w:eastAsia="仿宋" w:cs="仿宋"/>
                <w:snapToGrid w:val="0"/>
                <w:kern w:val="0"/>
                <w:sz w:val="24"/>
                <w:szCs w:val="24"/>
              </w:rPr>
              <w:t>.毕业生岗位适应性达80%，</w:t>
            </w:r>
            <w:r>
              <w:rPr>
                <w:rFonts w:hint="eastAsia" w:ascii="仿宋" w:hAnsi="仿宋" w:eastAsia="仿宋" w:cs="仿宋"/>
                <w:snapToGrid w:val="0"/>
                <w:kern w:val="0"/>
                <w:sz w:val="24"/>
                <w:szCs w:val="24"/>
                <w:highlight w:val="none"/>
                <w:lang w:val="en-US" w:eastAsia="zh-CN"/>
              </w:rPr>
              <w:t>专业对口就业率不低于70%。</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1.毕业生初次就业率≥95%，≥本省高职院校的平均水平5%；</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2.毕业生就业竞争力和就业质量高，社会认可度高，毕业生半年后就业率达95%以上，专业对口就业率保持在80%以上；</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color w:val="444444"/>
                <w:kern w:val="0"/>
                <w:sz w:val="24"/>
                <w:szCs w:val="24"/>
              </w:rPr>
            </w:pPr>
            <w:r>
              <w:rPr>
                <w:rFonts w:hint="eastAsia" w:ascii="仿宋" w:hAnsi="仿宋" w:eastAsia="仿宋" w:cs="仿宋"/>
                <w:snapToGrid w:val="0"/>
                <w:kern w:val="0"/>
                <w:sz w:val="24"/>
                <w:szCs w:val="24"/>
              </w:rPr>
              <w:t>3.毕业生就业区域、就业单位（类型、规模）等情况分析；</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4.毕业生半年后就业岗位、薪资水平、职位晋升状态好。</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8" w:hRule="atLeast"/>
          <w:jc w:val="center"/>
        </w:trPr>
        <w:tc>
          <w:tcPr>
            <w:tcW w:w="1119" w:type="dxa"/>
            <w:vMerge w:val="continue"/>
            <w:vAlign w:val="center"/>
          </w:tcPr>
          <w:p>
            <w:pPr>
              <w:jc w:val="left"/>
              <w:rPr>
                <w:rFonts w:ascii="仿宋_GB2312" w:hAnsi="宋体" w:eastAsia="仿宋_GB2312"/>
                <w:snapToGrid w:val="0"/>
                <w:kern w:val="0"/>
                <w:sz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b/>
                <w:bCs/>
                <w:snapToGrid w:val="0"/>
                <w:kern w:val="0"/>
                <w:sz w:val="24"/>
              </w:rPr>
            </w:pP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b/>
                <w:bCs/>
                <w:snapToGrid w:val="0"/>
                <w:kern w:val="0"/>
                <w:sz w:val="24"/>
              </w:rPr>
            </w:pP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b/>
                <w:bCs/>
                <w:snapToGrid w:val="0"/>
                <w:kern w:val="0"/>
                <w:sz w:val="24"/>
              </w:rPr>
            </w:pP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b/>
                <w:bCs/>
                <w:snapToGrid w:val="0"/>
                <w:kern w:val="0"/>
                <w:sz w:val="24"/>
              </w:rPr>
            </w:pPr>
            <w:r>
              <w:rPr>
                <w:rFonts w:hint="eastAsia" w:ascii="仿宋" w:hAnsi="仿宋" w:eastAsia="仿宋" w:cs="仿宋"/>
                <w:b/>
                <w:bCs/>
                <w:snapToGrid w:val="0"/>
                <w:kern w:val="0"/>
                <w:sz w:val="24"/>
              </w:rPr>
              <w:t>7.3学生技能水平（6分）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1.积极组织学生技能竞赛活动；</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2.每年均有学生获</w:t>
            </w:r>
            <w:r>
              <w:rPr>
                <w:rFonts w:hint="eastAsia" w:ascii="仿宋" w:hAnsi="仿宋" w:eastAsia="仿宋" w:cs="仿宋"/>
                <w:snapToGrid w:val="0"/>
                <w:kern w:val="0"/>
                <w:sz w:val="24"/>
                <w:highlight w:val="none"/>
              </w:rPr>
              <w:t>市级</w:t>
            </w:r>
            <w:r>
              <w:rPr>
                <w:rFonts w:hint="eastAsia" w:ascii="仿宋" w:hAnsi="仿宋" w:eastAsia="仿宋" w:cs="仿宋"/>
                <w:snapToGrid w:val="0"/>
                <w:kern w:val="0"/>
                <w:sz w:val="24"/>
              </w:rPr>
              <w:t>及以上技能竞赛奖项。</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3. 外语及计算机等级考试通过率≥学校平均水平，大学生体育合格率≥95%</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4. 双证书、1+X证书（或专业技能）获取率（合格率）80%以上</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rPr>
            </w:pP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1.建立形成了三级职业技能竞赛机制，技能竞赛与专业教学紧密结合，以赛促教、以赛促学，学生参加各级技能大赛比例高，参加省级以上职业技能大赛并获奖；</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2.具有竞赛承办能力，积极承办各级各类的技能大赛；</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3.将创新创业教育融入人才培养全过程，积极组织参加省级以上创新创业大赛并获奖；</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4.外语、计算机等级考试等课程证书通过率≥学校（或省市）平均水平5%，大学生体育合格率≥97%</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5.双证书、1+X证书（或专业技能）获取率（合格率）90%以上</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得2分，80%以上得1分，80%以下不得分</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4" w:hRule="atLeast"/>
          <w:jc w:val="center"/>
        </w:trPr>
        <w:tc>
          <w:tcPr>
            <w:tcW w:w="1119" w:type="dxa"/>
            <w:vMerge w:val="restart"/>
            <w:vAlign w:val="center"/>
          </w:tcPr>
          <w:p>
            <w:pPr>
              <w:spacing w:line="320" w:lineRule="exact"/>
              <w:jc w:val="center"/>
              <w:rPr>
                <w:rFonts w:hint="eastAsia" w:ascii="仿宋" w:hAnsi="仿宋" w:eastAsia="仿宋" w:cs="仿宋"/>
                <w:b/>
                <w:sz w:val="24"/>
                <w:szCs w:val="24"/>
              </w:rPr>
            </w:pPr>
            <w:r>
              <w:rPr>
                <w:rFonts w:hint="eastAsia" w:ascii="仿宋" w:hAnsi="仿宋" w:eastAsia="仿宋" w:cs="仿宋"/>
                <w:b/>
                <w:sz w:val="24"/>
                <w:szCs w:val="24"/>
              </w:rPr>
              <w:t>8.校企合作与社会服务</w:t>
            </w:r>
          </w:p>
          <w:p>
            <w:pPr>
              <w:spacing w:line="320" w:lineRule="exact"/>
              <w:jc w:val="center"/>
              <w:rPr>
                <w:rFonts w:hint="eastAsia" w:ascii="仿宋" w:hAnsi="仿宋" w:eastAsia="仿宋" w:cs="仿宋"/>
                <w:snapToGrid w:val="0"/>
                <w:kern w:val="0"/>
                <w:sz w:val="24"/>
                <w:szCs w:val="24"/>
              </w:rPr>
            </w:pPr>
            <w:r>
              <w:rPr>
                <w:rFonts w:hint="eastAsia" w:ascii="仿宋" w:hAnsi="仿宋" w:eastAsia="仿宋" w:cs="仿宋"/>
                <w:b/>
                <w:sz w:val="24"/>
                <w:szCs w:val="24"/>
              </w:rPr>
              <w:t>（14分）</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8.1校企合作（8分）</w:t>
            </w:r>
          </w:p>
        </w:tc>
        <w:tc>
          <w:tcPr>
            <w:tcW w:w="4536" w:type="dxa"/>
            <w:vAlign w:val="center"/>
          </w:tcPr>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 企</w:t>
            </w:r>
            <w:r>
              <w:rPr>
                <w:rFonts w:hint="eastAsia" w:ascii="仿宋" w:hAnsi="仿宋" w:eastAsia="仿宋" w:cs="仿宋"/>
                <w:snapToGrid w:val="0"/>
                <w:kern w:val="0"/>
                <w:sz w:val="24"/>
                <w:szCs w:val="24"/>
                <w:lang w:eastAsia="zh-CN"/>
              </w:rPr>
              <w:t>、</w:t>
            </w:r>
            <w:r>
              <w:rPr>
                <w:rFonts w:hint="eastAsia" w:ascii="仿宋" w:hAnsi="仿宋" w:eastAsia="仿宋" w:cs="仿宋"/>
                <w:snapToGrid w:val="0"/>
                <w:kern w:val="0"/>
                <w:sz w:val="24"/>
                <w:szCs w:val="24"/>
                <w:highlight w:val="none"/>
                <w:lang w:val="en-US" w:eastAsia="zh-CN"/>
              </w:rPr>
              <w:t>事业单位</w:t>
            </w:r>
            <w:r>
              <w:rPr>
                <w:rFonts w:hint="eastAsia" w:ascii="仿宋" w:hAnsi="仿宋" w:eastAsia="仿宋" w:cs="仿宋"/>
                <w:snapToGrid w:val="0"/>
                <w:kern w:val="0"/>
                <w:sz w:val="24"/>
                <w:szCs w:val="24"/>
              </w:rPr>
              <w:t>与专业合作育人，每年有共同开发课程、共同开发教材、合作申报科研项目等；</w:t>
            </w:r>
          </w:p>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2.有深度合作的企业，校企合作体制、机制运行良好；</w:t>
            </w:r>
          </w:p>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3.近3年合作单位对本专业均</w:t>
            </w:r>
            <w:bookmarkStart w:id="0" w:name="_GoBack"/>
            <w:bookmarkEnd w:id="0"/>
            <w:r>
              <w:rPr>
                <w:rFonts w:hint="eastAsia" w:ascii="仿宋" w:hAnsi="仿宋" w:eastAsia="仿宋" w:cs="仿宋"/>
                <w:snapToGrid w:val="0"/>
                <w:kern w:val="0"/>
                <w:sz w:val="24"/>
                <w:szCs w:val="24"/>
              </w:rPr>
              <w:t>有资金、设备、场地等各种形式的投入；</w:t>
            </w:r>
          </w:p>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4.共建“校中厂”、“厂中校”等多元主体共建实践教学基地有成效。</w:t>
            </w:r>
          </w:p>
        </w:tc>
        <w:tc>
          <w:tcPr>
            <w:tcW w:w="7229" w:type="dxa"/>
            <w:vAlign w:val="center"/>
          </w:tcPr>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专业有稳定的，数量满足人才培养的合作企业，建立健全与企业共建专业机制，发挥企业重要办学主体作用，校企共同编制专业建设规划，共同制定专业人才培养方案，共同开发课程教材，推动企业需求融入人才培养全过程；</w:t>
            </w:r>
          </w:p>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2.推进校企双主体育人技术技能人才培养模式改革和现代学徒制，形成校企联合招生、联合培养、协同育人的长效机制；</w:t>
            </w:r>
          </w:p>
          <w:p>
            <w:pPr>
              <w:keepNext w:val="0"/>
              <w:keepLines w:val="0"/>
              <w:pageBreakBefore w:val="0"/>
              <w:widowControl w:val="0"/>
              <w:shd w:val="clear" w:color="auto" w:fill="FFFFFF"/>
              <w:kinsoku/>
              <w:wordWrap/>
              <w:overflowPunct/>
              <w:topLinePunct w:val="0"/>
              <w:autoSpaceDE/>
              <w:autoSpaceDN/>
              <w:bidi w:val="0"/>
              <w:adjustRightInd/>
              <w:snapToGrid/>
              <w:spacing w:line="340" w:lineRule="exact"/>
              <w:jc w:val="left"/>
              <w:textAlignment w:val="baseline"/>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3.校企合作全面深入，行业、企业承担人才培养任务明确，在招生、就业、教学模式、课程体系、实践环节、教学运行、管理机制和教学组织形式等多方面与企业进行紧密合作;</w:t>
            </w:r>
          </w:p>
          <w:p>
            <w:pPr>
              <w:keepNext w:val="0"/>
              <w:keepLines w:val="0"/>
              <w:pageBreakBefore w:val="0"/>
              <w:widowControl w:val="0"/>
              <w:shd w:val="clear" w:color="auto" w:fill="FFFFFF"/>
              <w:kinsoku/>
              <w:wordWrap/>
              <w:overflowPunct/>
              <w:topLinePunct w:val="0"/>
              <w:autoSpaceDE/>
              <w:autoSpaceDN/>
              <w:bidi w:val="0"/>
              <w:adjustRightInd/>
              <w:snapToGrid/>
              <w:spacing w:line="340" w:lineRule="exact"/>
              <w:jc w:val="left"/>
              <w:textAlignment w:val="baseline"/>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4.与知名行业企业建立产教联盟，共同开发专业标准、课程标准和人才质量标准;优选业内领先企业开展现代学徒制培养、企业新型学徒制和“订单式”联合培养等，探索工学结合的教学组织形式。</w:t>
            </w:r>
          </w:p>
          <w:p>
            <w:pPr>
              <w:keepNext w:val="0"/>
              <w:keepLines w:val="0"/>
              <w:pageBreakBefore w:val="0"/>
              <w:widowControl w:val="0"/>
              <w:shd w:val="clear" w:color="auto" w:fill="FFFFFF"/>
              <w:kinsoku/>
              <w:wordWrap/>
              <w:overflowPunct/>
              <w:topLinePunct w:val="0"/>
              <w:autoSpaceDE/>
              <w:autoSpaceDN/>
              <w:bidi w:val="0"/>
              <w:adjustRightInd/>
              <w:snapToGrid/>
              <w:spacing w:line="340" w:lineRule="exact"/>
              <w:jc w:val="left"/>
              <w:textAlignment w:val="baseline"/>
              <w:rPr>
                <w:rFonts w:hint="eastAsia" w:ascii="仿宋" w:hAnsi="仿宋" w:eastAsia="仿宋" w:cs="仿宋"/>
                <w:snapToGrid w:val="0"/>
                <w:kern w:val="0"/>
                <w:sz w:val="24"/>
                <w:szCs w:val="24"/>
              </w:rPr>
            </w:pP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45" w:hRule="atLeast"/>
          <w:jc w:val="center"/>
        </w:trPr>
        <w:tc>
          <w:tcPr>
            <w:tcW w:w="1119" w:type="dxa"/>
            <w:vMerge w:val="continue"/>
            <w:vAlign w:val="center"/>
          </w:tcPr>
          <w:p>
            <w:pPr>
              <w:spacing w:line="240" w:lineRule="atLeast"/>
              <w:jc w:val="left"/>
              <w:rPr>
                <w:rFonts w:hint="eastAsia" w:ascii="仿宋" w:hAnsi="仿宋" w:eastAsia="仿宋" w:cs="仿宋"/>
                <w:b/>
                <w:sz w:val="24"/>
                <w:szCs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left"/>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8.2 社会服务（6分）</w:t>
            </w:r>
          </w:p>
        </w:tc>
        <w:tc>
          <w:tcPr>
            <w:tcW w:w="4536" w:type="dxa"/>
          </w:tcPr>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1.面向社会、行业、企业（医院）进行各种技术技能培训，培训人次达专业当年招生人数的0.5倍以上，培训合格率95%以上；</w:t>
            </w:r>
          </w:p>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2.专业教师参与企业（医院）技术革新，有横向课题；</w:t>
            </w:r>
          </w:p>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3.教师有为地方政府、行企业等提供政策咨询；</w:t>
            </w:r>
          </w:p>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4.面向社会开展继续教育。</w:t>
            </w:r>
          </w:p>
        </w:tc>
        <w:tc>
          <w:tcPr>
            <w:tcW w:w="7229" w:type="dxa"/>
          </w:tcPr>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1.面向社会开展多种形式的社会培训，培训和鉴定人次达到专业当年招生人数的1以上;继续教育招生规模达到年普通招生规模的1/2以上;有省级以上职业教育师资培训基地，并开展职业教育师资培训；</w:t>
            </w:r>
          </w:p>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2.协助企业解决技术难题，开展技术服务与行业企业深入合作，开展科技研发应用工作，有一定数量的纵向教科研项目;横向项目数、到账经费逐年增长；</w:t>
            </w:r>
          </w:p>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 xml:space="preserve">3.专业教师获得一定数量专利，专利转化率高； </w:t>
            </w:r>
          </w:p>
          <w:p>
            <w:pPr>
              <w:keepNext w:val="0"/>
              <w:keepLines w:val="0"/>
              <w:pageBreakBefore w:val="0"/>
              <w:widowControl w:val="0"/>
              <w:kinsoku/>
              <w:wordWrap/>
              <w:overflowPunct/>
              <w:topLinePunct w:val="0"/>
              <w:autoSpaceDE/>
              <w:autoSpaceDN/>
              <w:bidi w:val="0"/>
              <w:adjustRightInd/>
              <w:snapToGrid/>
              <w:spacing w:line="340" w:lineRule="exac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4.发挥专业群资源优势，与行业企业共建职工培训中心，面向企业员工、新型职业农民、退役军人、就业重点人群等开展岗位培训、技能提升培训和就业创业培训，为人力资源开发和就业服务；</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1119"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sz w:val="24"/>
                <w:szCs w:val="24"/>
              </w:rPr>
            </w:pPr>
            <w:r>
              <w:rPr>
                <w:rFonts w:hint="eastAsia" w:ascii="仿宋" w:hAnsi="仿宋" w:eastAsia="仿宋" w:cs="仿宋"/>
                <w:b/>
                <w:sz w:val="24"/>
                <w:szCs w:val="24"/>
              </w:rPr>
              <w:t xml:space="preserve">9.社会评价与特色创新(10分)                                                                                          </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9.1专业竞争力（3分）</w:t>
            </w:r>
          </w:p>
        </w:tc>
        <w:tc>
          <w:tcPr>
            <w:tcW w:w="4536" w:type="dxa"/>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1.分析专业在区域分布、行业特征、办学模式等方面有着合理的选择；</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2.本专业与区域同类院校相比有特色或优势。</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3.有可信的数据来源和</w:t>
            </w:r>
            <w:r>
              <w:rPr>
                <w:rFonts w:hint="eastAsia" w:ascii="仿宋" w:hAnsi="仿宋" w:eastAsia="仿宋" w:cs="仿宋"/>
                <w:snapToGrid w:val="0"/>
                <w:kern w:val="0"/>
                <w:sz w:val="24"/>
                <w:szCs w:val="24"/>
                <w:lang w:val="en-US" w:eastAsia="zh-CN"/>
              </w:rPr>
              <w:t>详实</w:t>
            </w:r>
            <w:r>
              <w:rPr>
                <w:rFonts w:hint="eastAsia" w:ascii="仿宋" w:hAnsi="仿宋" w:eastAsia="仿宋" w:cs="仿宋"/>
                <w:snapToGrid w:val="0"/>
                <w:kern w:val="0"/>
                <w:sz w:val="24"/>
                <w:szCs w:val="24"/>
              </w:rPr>
              <w:t>的比较分析，有明确的分析结果。</w:t>
            </w:r>
          </w:p>
        </w:tc>
        <w:tc>
          <w:tcPr>
            <w:tcW w:w="7229" w:type="dxa"/>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1.在行业和区域内有较强的影响力，形成了良好品牌;</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2.办学成绩获媒体宣传和报道;有省级以上标志性成果、荣誉及项目;</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3.构建完善的内部质量保证体系，持续开展专业教学质量诊断与改进工作</w:t>
            </w:r>
            <w:r>
              <w:rPr>
                <w:rFonts w:hint="eastAsia" w:ascii="仿宋" w:hAnsi="仿宋" w:eastAsia="仿宋" w:cs="仿宋"/>
                <w:color w:val="333333"/>
                <w:spacing w:val="15"/>
                <w:kern w:val="0"/>
                <w:sz w:val="24"/>
                <w:szCs w:val="24"/>
              </w:rPr>
              <w:t>。</w:t>
            </w: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1" w:hRule="atLeast"/>
          <w:jc w:val="center"/>
        </w:trPr>
        <w:tc>
          <w:tcPr>
            <w:tcW w:w="1119"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snapToGrid w:val="0"/>
                <w:kern w:val="0"/>
                <w:sz w:val="24"/>
                <w:szCs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9.2 专业招生（2分）</w:t>
            </w:r>
          </w:p>
        </w:tc>
        <w:tc>
          <w:tcPr>
            <w:tcW w:w="4536" w:type="dxa"/>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 xml:space="preserve">招生数符合要求，计划完成100%，实际报到率高于学校平均水平（办学时间短的专业第一志愿录取率、实际报到率有明显上升趋势）。 </w:t>
            </w:r>
          </w:p>
        </w:tc>
        <w:tc>
          <w:tcPr>
            <w:tcW w:w="7229" w:type="dxa"/>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专业招生保持一定的招生规模，生源质量较好；招生计划完成100%，按计划数报到率≥98%。</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napToGrid w:val="0"/>
                <w:kern w:val="0"/>
                <w:sz w:val="24"/>
                <w:szCs w:val="24"/>
              </w:rPr>
            </w:pPr>
          </w:p>
        </w:tc>
        <w:tc>
          <w:tcPr>
            <w:tcW w:w="690" w:type="dxa"/>
          </w:tcPr>
          <w:p>
            <w:pPr>
              <w:spacing w:line="320" w:lineRule="exact"/>
              <w:rPr>
                <w:rFonts w:ascii="仿宋_GB2312" w:hAnsi="宋体" w:eastAsia="仿宋_GB2312"/>
                <w:snapToGrid w:val="0"/>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1" w:hRule="atLeast"/>
          <w:jc w:val="center"/>
        </w:trPr>
        <w:tc>
          <w:tcPr>
            <w:tcW w:w="1119" w:type="dxa"/>
            <w:vMerge w:val="continue"/>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snapToGrid w:val="0"/>
                <w:kern w:val="0"/>
                <w:sz w:val="24"/>
                <w:szCs w:val="24"/>
              </w:rPr>
            </w:pPr>
          </w:p>
        </w:tc>
        <w:tc>
          <w:tcPr>
            <w:tcW w:w="1418"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9.3 特色创新（5分）</w:t>
            </w:r>
          </w:p>
        </w:tc>
        <w:tc>
          <w:tcPr>
            <w:tcW w:w="4536" w:type="dxa"/>
            <w:tcBorders>
              <w:bottom w:val="single" w:color="auto" w:sz="12" w:space="0"/>
            </w:tcBorders>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专业建设成果示范辐射作用成效显著。在校企合作、教学团队建设、立德树人、工学结合人才培养模式改革、课程建设、教学模式改革、实践教学、社会服务、闽台、国际（境外）交流等方面有本专业特有的、在学校和社会上有一定影响，得到公认的项目，发挥带头和示范作用。对优化人才培养过程、提高人才培养质量、提升服务区域社会经济发展有较大作用。</w:t>
            </w:r>
          </w:p>
        </w:tc>
        <w:tc>
          <w:tcPr>
            <w:tcW w:w="7229" w:type="dxa"/>
            <w:tcBorders>
              <w:bottom w:val="single" w:color="auto" w:sz="12" w:space="0"/>
            </w:tcBorders>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专业发展对接行业优势明显、特色鲜明，对区域产业和社会发展急需人才的培养贡献度大，能服务区域经济转型、产业升级需求;在校企深度合作、教学团队建设、立德树人、工学结合人才培养模式改革、课程建设、教学模式改革、实践教学、社会服务、闽台、国际（境外）交流、社会培训、技术创新、专业对口帮扶、服务闽东北、闽西南协同发展区建设和乡村振兴战略等方面工作成效显著，有特色创新，引领区域、行业、学校的专业发展，发挥示范辐射作用。</w:t>
            </w:r>
          </w:p>
        </w:tc>
        <w:tc>
          <w:tcPr>
            <w:tcW w:w="690" w:type="dxa"/>
            <w:tcBorders>
              <w:bottom w:val="single" w:color="auto" w:sz="12" w:space="0"/>
            </w:tcBorders>
          </w:tcPr>
          <w:p>
            <w:pPr>
              <w:spacing w:line="320" w:lineRule="exact"/>
              <w:rPr>
                <w:rFonts w:ascii="仿宋_GB2312" w:hAnsi="宋体" w:eastAsia="仿宋_GB2312"/>
                <w:snapToGrid w:val="0"/>
                <w:kern w:val="0"/>
                <w:sz w:val="24"/>
              </w:rPr>
            </w:pPr>
          </w:p>
        </w:tc>
      </w:tr>
    </w:tbl>
    <w:p>
      <w:pPr>
        <w:widowControl/>
        <w:adjustRightInd w:val="0"/>
        <w:snapToGrid w:val="0"/>
        <w:ind w:firstLine="480" w:firstLineChars="200"/>
        <w:jc w:val="left"/>
        <w:rPr>
          <w:rFonts w:ascii="仿宋_GB2312" w:hAnsi="宋体" w:eastAsia="仿宋_GB2312" w:cs="宋体"/>
          <w:kern w:val="0"/>
          <w:sz w:val="24"/>
          <w:szCs w:val="24"/>
        </w:rPr>
      </w:pPr>
      <w:r>
        <w:rPr>
          <w:rFonts w:hint="eastAsia" w:ascii="仿宋_GB2312" w:hAnsi="宋体" w:eastAsia="仿宋_GB2312" w:cs="宋体"/>
          <w:kern w:val="0"/>
          <w:sz w:val="24"/>
          <w:szCs w:val="24"/>
        </w:rPr>
        <w:t>备注：</w:t>
      </w:r>
    </w:p>
    <w:p>
      <w:pPr>
        <w:widowControl/>
        <w:adjustRightInd w:val="0"/>
        <w:snapToGrid w:val="0"/>
        <w:ind w:firstLine="960" w:firstLineChars="400"/>
        <w:jc w:val="left"/>
        <w:rPr>
          <w:rFonts w:ascii="仿宋_GB2312" w:hAnsi="宋体" w:eastAsia="仿宋_GB2312" w:cs="宋体"/>
          <w:kern w:val="0"/>
          <w:sz w:val="24"/>
          <w:szCs w:val="24"/>
        </w:rPr>
      </w:pPr>
      <w:r>
        <w:rPr>
          <w:rFonts w:hint="eastAsia" w:ascii="仿宋_GB2312" w:hAnsi="宋体" w:eastAsia="仿宋_GB2312" w:cs="宋体"/>
          <w:kern w:val="0"/>
          <w:sz w:val="24"/>
          <w:szCs w:val="24"/>
        </w:rPr>
        <w:t>1</w:t>
      </w:r>
      <w:r>
        <w:rPr>
          <w:rFonts w:ascii="仿宋_GB2312" w:hAnsi="宋体" w:eastAsia="仿宋_GB2312" w:cs="宋体"/>
          <w:kern w:val="0"/>
          <w:sz w:val="24"/>
          <w:szCs w:val="24"/>
        </w:rPr>
        <w:t>.</w:t>
      </w:r>
      <w:r>
        <w:rPr>
          <w:rFonts w:hint="eastAsia" w:ascii="仿宋_GB2312" w:hAnsi="宋体" w:eastAsia="仿宋_GB2312" w:cs="宋体"/>
          <w:kern w:val="0"/>
          <w:sz w:val="24"/>
          <w:szCs w:val="24"/>
        </w:rPr>
        <w:t>国家或行业有专业认证、专业建设标准的按国家或行业标准实施；</w:t>
      </w:r>
    </w:p>
    <w:p>
      <w:pPr>
        <w:widowControl/>
        <w:adjustRightInd w:val="0"/>
        <w:snapToGrid w:val="0"/>
        <w:ind w:firstLine="960" w:firstLineChars="400"/>
        <w:jc w:val="left"/>
        <w:rPr>
          <w:rFonts w:ascii="仿宋_GB2312" w:hAnsi="宋体" w:eastAsia="仿宋_GB2312" w:cs="宋体"/>
          <w:kern w:val="0"/>
          <w:sz w:val="24"/>
          <w:szCs w:val="24"/>
        </w:rPr>
      </w:pPr>
      <w:r>
        <w:rPr>
          <w:rFonts w:ascii="仿宋_GB2312" w:hAnsi="宋体" w:eastAsia="仿宋_GB2312" w:cs="宋体"/>
          <w:kern w:val="0"/>
          <w:sz w:val="24"/>
          <w:szCs w:val="24"/>
        </w:rPr>
        <w:t>2.</w:t>
      </w:r>
      <w:r>
        <w:rPr>
          <w:rFonts w:hint="eastAsia" w:ascii="仿宋_GB2312" w:hAnsi="宋体" w:eastAsia="仿宋_GB2312" w:cs="宋体"/>
          <w:kern w:val="0"/>
          <w:sz w:val="24"/>
          <w:szCs w:val="24"/>
        </w:rPr>
        <w:t>专业建设根据与专业建设标准的达成度分四个等级：优秀、良好、合格、不合格；</w:t>
      </w:r>
    </w:p>
    <w:p>
      <w:pPr>
        <w:widowControl/>
        <w:adjustRightInd w:val="0"/>
        <w:snapToGrid w:val="0"/>
        <w:ind w:firstLine="960" w:firstLineChars="400"/>
        <w:jc w:val="left"/>
        <w:rPr>
          <w:rFonts w:ascii="仿宋_GB2312" w:hAnsi="宋体" w:eastAsia="仿宋_GB2312" w:cs="宋体"/>
          <w:kern w:val="0"/>
          <w:sz w:val="24"/>
          <w:szCs w:val="24"/>
        </w:rPr>
      </w:pPr>
      <w:r>
        <w:rPr>
          <w:rFonts w:ascii="仿宋_GB2312" w:hAnsi="宋体" w:eastAsia="仿宋_GB2312" w:cs="宋体"/>
          <w:kern w:val="0"/>
          <w:sz w:val="24"/>
          <w:szCs w:val="24"/>
        </w:rPr>
        <w:t>3.</w:t>
      </w:r>
      <w:r>
        <w:rPr>
          <w:rFonts w:hint="eastAsia" w:ascii="仿宋_GB2312" w:hAnsi="宋体" w:eastAsia="仿宋_GB2312" w:cs="宋体"/>
          <w:kern w:val="0"/>
          <w:sz w:val="24"/>
          <w:szCs w:val="24"/>
        </w:rPr>
        <w:t>专业建设标准指标体系总共有二级指标26项，建设诊断与改进结论的等级标准为：</w:t>
      </w:r>
    </w:p>
    <w:p>
      <w:pPr>
        <w:widowControl/>
        <w:adjustRightInd w:val="0"/>
        <w:snapToGrid w:val="0"/>
        <w:ind w:firstLine="960" w:firstLineChars="400"/>
        <w:jc w:val="left"/>
        <w:rPr>
          <w:rFonts w:ascii="仿宋_GB2312" w:hAnsi="宋体" w:eastAsia="仿宋_GB2312" w:cs="宋体"/>
          <w:kern w:val="0"/>
          <w:sz w:val="24"/>
          <w:szCs w:val="24"/>
        </w:rPr>
      </w:pPr>
      <w:r>
        <w:rPr>
          <w:rFonts w:hint="eastAsia" w:ascii="仿宋_GB2312" w:hAnsi="宋体" w:eastAsia="仿宋_GB2312" w:cs="宋体"/>
          <w:kern w:val="0"/>
          <w:sz w:val="24"/>
          <w:szCs w:val="24"/>
        </w:rPr>
        <w:t>（1）优秀：总分≥90分；</w:t>
      </w:r>
    </w:p>
    <w:p>
      <w:pPr>
        <w:widowControl/>
        <w:adjustRightInd w:val="0"/>
        <w:snapToGrid w:val="0"/>
        <w:ind w:firstLine="960" w:firstLineChars="400"/>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（2）良好：80分≤总分＜90分； </w:t>
      </w:r>
    </w:p>
    <w:p>
      <w:pPr>
        <w:widowControl/>
        <w:adjustRightInd w:val="0"/>
        <w:snapToGrid w:val="0"/>
        <w:ind w:firstLine="960" w:firstLineChars="400"/>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（3）合格：70分≤总分＜80分； </w:t>
      </w:r>
    </w:p>
    <w:p>
      <w:pPr>
        <w:ind w:firstLine="960" w:firstLineChars="400"/>
        <w:rPr>
          <w:sz w:val="24"/>
          <w:szCs w:val="24"/>
        </w:rPr>
      </w:pPr>
      <w:r>
        <w:rPr>
          <w:rFonts w:hint="eastAsia" w:ascii="仿宋_GB2312" w:hAnsi="宋体" w:eastAsia="仿宋_GB2312" w:cs="宋体"/>
          <w:kern w:val="0"/>
          <w:sz w:val="24"/>
          <w:szCs w:val="24"/>
        </w:rPr>
        <w:t>（4）不合格：不满足“合格”等级的即为不合格。</w:t>
      </w:r>
    </w:p>
    <w:sectPr>
      <w:footerReference r:id="rId3" w:type="default"/>
      <w:pgSz w:w="16838" w:h="11906" w:orient="landscape"/>
      <w:pgMar w:top="851" w:right="851" w:bottom="567"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0133444"/>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iMjNmMzYwMjNiMDA2YjdlZDU4NTVhYjEzNTk2ZWQifQ=="/>
  </w:docVars>
  <w:rsids>
    <w:rsidRoot w:val="00302649"/>
    <w:rsid w:val="00004B54"/>
    <w:rsid w:val="000246F7"/>
    <w:rsid w:val="000805CB"/>
    <w:rsid w:val="00090707"/>
    <w:rsid w:val="00092275"/>
    <w:rsid w:val="00093C05"/>
    <w:rsid w:val="000A1CD2"/>
    <w:rsid w:val="000D51BF"/>
    <w:rsid w:val="000E3D94"/>
    <w:rsid w:val="000F4BD1"/>
    <w:rsid w:val="00112C36"/>
    <w:rsid w:val="00113157"/>
    <w:rsid w:val="00127AC0"/>
    <w:rsid w:val="0016390B"/>
    <w:rsid w:val="001A4424"/>
    <w:rsid w:val="001B730B"/>
    <w:rsid w:val="001C4134"/>
    <w:rsid w:val="001C5621"/>
    <w:rsid w:val="001D374A"/>
    <w:rsid w:val="001D49D5"/>
    <w:rsid w:val="00215C9F"/>
    <w:rsid w:val="00216FC1"/>
    <w:rsid w:val="002210CA"/>
    <w:rsid w:val="00237278"/>
    <w:rsid w:val="00260DD1"/>
    <w:rsid w:val="00282484"/>
    <w:rsid w:val="00287EF4"/>
    <w:rsid w:val="00297638"/>
    <w:rsid w:val="002977E0"/>
    <w:rsid w:val="002A078A"/>
    <w:rsid w:val="002A20AC"/>
    <w:rsid w:val="002A4AF1"/>
    <w:rsid w:val="002C5B81"/>
    <w:rsid w:val="002C7365"/>
    <w:rsid w:val="002C78A1"/>
    <w:rsid w:val="002E29F7"/>
    <w:rsid w:val="00302649"/>
    <w:rsid w:val="00302AE3"/>
    <w:rsid w:val="00302D2E"/>
    <w:rsid w:val="00305C83"/>
    <w:rsid w:val="00373722"/>
    <w:rsid w:val="00380277"/>
    <w:rsid w:val="00397E67"/>
    <w:rsid w:val="003E0E44"/>
    <w:rsid w:val="003E7EE7"/>
    <w:rsid w:val="004028F9"/>
    <w:rsid w:val="00417230"/>
    <w:rsid w:val="004174EF"/>
    <w:rsid w:val="00451B9B"/>
    <w:rsid w:val="00457E53"/>
    <w:rsid w:val="00481132"/>
    <w:rsid w:val="004843E4"/>
    <w:rsid w:val="0049016B"/>
    <w:rsid w:val="004A5AB6"/>
    <w:rsid w:val="004E462E"/>
    <w:rsid w:val="00516EED"/>
    <w:rsid w:val="005308EF"/>
    <w:rsid w:val="00530FA5"/>
    <w:rsid w:val="005508DE"/>
    <w:rsid w:val="00555892"/>
    <w:rsid w:val="00560021"/>
    <w:rsid w:val="0056683B"/>
    <w:rsid w:val="00580AC2"/>
    <w:rsid w:val="005B79F7"/>
    <w:rsid w:val="005C740B"/>
    <w:rsid w:val="005D0EF3"/>
    <w:rsid w:val="005D3428"/>
    <w:rsid w:val="005D7D35"/>
    <w:rsid w:val="005F046D"/>
    <w:rsid w:val="006013F8"/>
    <w:rsid w:val="00607AB8"/>
    <w:rsid w:val="0063084B"/>
    <w:rsid w:val="00667E99"/>
    <w:rsid w:val="00696817"/>
    <w:rsid w:val="006A0012"/>
    <w:rsid w:val="006A772A"/>
    <w:rsid w:val="006B39AE"/>
    <w:rsid w:val="006D6D42"/>
    <w:rsid w:val="006E063B"/>
    <w:rsid w:val="006E1854"/>
    <w:rsid w:val="007506D1"/>
    <w:rsid w:val="007525B8"/>
    <w:rsid w:val="007547A2"/>
    <w:rsid w:val="00771684"/>
    <w:rsid w:val="00775A0A"/>
    <w:rsid w:val="007C224D"/>
    <w:rsid w:val="007C29E5"/>
    <w:rsid w:val="007F4F20"/>
    <w:rsid w:val="007F7814"/>
    <w:rsid w:val="00883E7E"/>
    <w:rsid w:val="00884E48"/>
    <w:rsid w:val="008A01AE"/>
    <w:rsid w:val="008C3333"/>
    <w:rsid w:val="008D2964"/>
    <w:rsid w:val="008D6ECF"/>
    <w:rsid w:val="008F3CBA"/>
    <w:rsid w:val="00902D4A"/>
    <w:rsid w:val="00906394"/>
    <w:rsid w:val="00921348"/>
    <w:rsid w:val="009334CC"/>
    <w:rsid w:val="00933940"/>
    <w:rsid w:val="00937F2D"/>
    <w:rsid w:val="00942A10"/>
    <w:rsid w:val="00944B51"/>
    <w:rsid w:val="00974CDA"/>
    <w:rsid w:val="009826F4"/>
    <w:rsid w:val="009A0654"/>
    <w:rsid w:val="009A2277"/>
    <w:rsid w:val="009D7990"/>
    <w:rsid w:val="009E3856"/>
    <w:rsid w:val="00A13450"/>
    <w:rsid w:val="00A24EFF"/>
    <w:rsid w:val="00A472E8"/>
    <w:rsid w:val="00A6359F"/>
    <w:rsid w:val="00A965E8"/>
    <w:rsid w:val="00AA2324"/>
    <w:rsid w:val="00AB2950"/>
    <w:rsid w:val="00AC5E59"/>
    <w:rsid w:val="00AD4F01"/>
    <w:rsid w:val="00AE47FF"/>
    <w:rsid w:val="00AF0759"/>
    <w:rsid w:val="00B74C35"/>
    <w:rsid w:val="00B94BB5"/>
    <w:rsid w:val="00BB30EC"/>
    <w:rsid w:val="00BB61E8"/>
    <w:rsid w:val="00BC5E2D"/>
    <w:rsid w:val="00BD27F4"/>
    <w:rsid w:val="00BE0920"/>
    <w:rsid w:val="00BE2FC0"/>
    <w:rsid w:val="00BE4B68"/>
    <w:rsid w:val="00C77690"/>
    <w:rsid w:val="00C906F1"/>
    <w:rsid w:val="00CB3058"/>
    <w:rsid w:val="00CE38F9"/>
    <w:rsid w:val="00CE4982"/>
    <w:rsid w:val="00CF3B29"/>
    <w:rsid w:val="00CF7A77"/>
    <w:rsid w:val="00D23C01"/>
    <w:rsid w:val="00D36940"/>
    <w:rsid w:val="00D444F7"/>
    <w:rsid w:val="00D93B06"/>
    <w:rsid w:val="00DD119A"/>
    <w:rsid w:val="00DE3BC5"/>
    <w:rsid w:val="00DF6CBB"/>
    <w:rsid w:val="00E003E8"/>
    <w:rsid w:val="00E15AF0"/>
    <w:rsid w:val="00E211D3"/>
    <w:rsid w:val="00E25ADD"/>
    <w:rsid w:val="00E410C7"/>
    <w:rsid w:val="00E46BFC"/>
    <w:rsid w:val="00E71777"/>
    <w:rsid w:val="00E71907"/>
    <w:rsid w:val="00E85E0D"/>
    <w:rsid w:val="00EA1F21"/>
    <w:rsid w:val="00EC626B"/>
    <w:rsid w:val="00EF0968"/>
    <w:rsid w:val="00F07E6A"/>
    <w:rsid w:val="00F105B5"/>
    <w:rsid w:val="00F262D7"/>
    <w:rsid w:val="00F2737F"/>
    <w:rsid w:val="00F30BFC"/>
    <w:rsid w:val="00F447C8"/>
    <w:rsid w:val="00F621A6"/>
    <w:rsid w:val="00F75AB2"/>
    <w:rsid w:val="00F768B8"/>
    <w:rsid w:val="00F76CFE"/>
    <w:rsid w:val="00F96DCC"/>
    <w:rsid w:val="00FC256E"/>
    <w:rsid w:val="00FD3D32"/>
    <w:rsid w:val="00FF075F"/>
    <w:rsid w:val="12183B8F"/>
    <w:rsid w:val="12CD67A6"/>
    <w:rsid w:val="14101AC4"/>
    <w:rsid w:val="18575979"/>
    <w:rsid w:val="20980B44"/>
    <w:rsid w:val="21CB01E8"/>
    <w:rsid w:val="226A5ECE"/>
    <w:rsid w:val="38E621FA"/>
    <w:rsid w:val="397E714C"/>
    <w:rsid w:val="458F625C"/>
    <w:rsid w:val="4E4F0834"/>
    <w:rsid w:val="54501602"/>
    <w:rsid w:val="59923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0"/>
    <w:pPr>
      <w:spacing w:after="120"/>
    </w:pPr>
    <w:rPr>
      <w:rFonts w:ascii="Calibri" w:hAnsi="Calibri"/>
      <w:szCs w:val="22"/>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jc w:val="left"/>
    </w:pPr>
    <w:rPr>
      <w:rFonts w:ascii="宋体" w:hAnsi="宋体" w:cs="宋体"/>
      <w:kern w:val="0"/>
      <w:sz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customStyle="1" w:styleId="10">
    <w:name w:val="Char"/>
    <w:basedOn w:val="1"/>
    <w:qFormat/>
    <w:uiPriority w:val="0"/>
    <w:pPr>
      <w:spacing w:line="240" w:lineRule="atLeast"/>
      <w:ind w:left="420" w:firstLine="420"/>
    </w:pPr>
    <w:rPr>
      <w:szCs w:val="20"/>
    </w:rPr>
  </w:style>
  <w:style w:type="paragraph" w:styleId="11">
    <w:name w:val="List Paragraph"/>
    <w:basedOn w:val="1"/>
    <w:qFormat/>
    <w:uiPriority w:val="34"/>
    <w:pPr>
      <w:ind w:firstLine="420" w:firstLineChars="200"/>
    </w:pPr>
  </w:style>
  <w:style w:type="character" w:customStyle="1" w:styleId="12">
    <w:name w:val="正文文本 字符"/>
    <w:basedOn w:val="7"/>
    <w:link w:val="2"/>
    <w:qFormat/>
    <w:uiPriority w:val="0"/>
    <w:rPr>
      <w:rFonts w:ascii="Calibri" w:hAnsi="Calibri" w:eastAsia="宋体" w:cs="Times New Roman"/>
    </w:rPr>
  </w:style>
  <w:style w:type="paragraph" w:customStyle="1" w:styleId="13">
    <w:name w:val=" Char"/>
    <w:basedOn w:val="1"/>
    <w:qFormat/>
    <w:uiPriority w:val="0"/>
    <w:pPr>
      <w:spacing w:line="240" w:lineRule="atLeast"/>
      <w:ind w:left="420" w:firstLine="420"/>
    </w:pPr>
    <w:rPr>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379D1-7BE6-4AD0-8E14-DF74B73A090E}">
  <ds:schemaRefs/>
</ds:datastoreItem>
</file>

<file path=docProps/app.xml><?xml version="1.0" encoding="utf-8"?>
<Properties xmlns="http://schemas.openxmlformats.org/officeDocument/2006/extended-properties" xmlns:vt="http://schemas.openxmlformats.org/officeDocument/2006/docPropsVTypes">
  <Template>Normal</Template>
  <Pages>12</Pages>
  <Words>9348</Words>
  <Characters>9681</Characters>
  <Lines>71</Lines>
  <Paragraphs>20</Paragraphs>
  <TotalTime>30</TotalTime>
  <ScaleCrop>false</ScaleCrop>
  <LinksUpToDate>false</LinksUpToDate>
  <CharactersWithSpaces>9805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2023-08-15T02:59:00Z</dcterms:created>
  <dc:creator>chen zhenjian</dc:creator>
  <cp:lastModifiedBy>心云间</cp:lastModifiedBy>
  <dcterms:modified xsi:type="dcterms:W3CDTF">2023-09-28T00:40:59Z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5AFD75D165AE41838E0F8BC679CF48A0_12</vt:lpwstr>
  </property>
</Properties>
</file>